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 w:themeColor="accent2" w:themeTint="33"/>
  <w:body>
    <w:p w14:paraId="7472F083" w14:textId="4CC40EAD" w:rsidR="00CE5A19" w:rsidRPr="002C5391" w:rsidRDefault="00CE5A19" w:rsidP="00996A76">
      <w:pPr>
        <w:suppressAutoHyphens/>
        <w:spacing w:line="360" w:lineRule="auto"/>
        <w:ind w:leftChars="-1" w:left="1" w:hangingChars="1" w:hanging="3"/>
        <w:jc w:val="center"/>
        <w:textDirection w:val="btLr"/>
        <w:textAlignment w:val="top"/>
        <w:outlineLvl w:val="0"/>
        <w:rPr>
          <w:position w:val="-1"/>
          <w:sz w:val="28"/>
          <w:szCs w:val="28"/>
        </w:rPr>
      </w:pPr>
      <w:r w:rsidRPr="002C5391">
        <w:rPr>
          <w:b/>
          <w:position w:val="-1"/>
          <w:sz w:val="28"/>
          <w:szCs w:val="28"/>
        </w:rPr>
        <w:t>CONFERENCE DES JURIDICTIONS CONSTITUTIONNELLES AFRICAINES (CJCA</w:t>
      </w:r>
      <w:r w:rsidRPr="002C5391" w:rsidDel="FFFFFFFF">
        <w:rPr>
          <w:b/>
          <w:position w:val="-1"/>
          <w:sz w:val="28"/>
          <w:szCs w:val="28"/>
        </w:rPr>
        <w:t>)</w:t>
      </w:r>
    </w:p>
    <w:p w14:paraId="4F593BA3" w14:textId="55F5E619" w:rsidR="002C5391" w:rsidRDefault="002C5391" w:rsidP="00996A76">
      <w:pPr>
        <w:spacing w:after="120" w:line="360" w:lineRule="auto"/>
      </w:pPr>
    </w:p>
    <w:tbl>
      <w:tblPr>
        <w:tblStyle w:val="Grilledutableau1"/>
        <w:tblW w:w="9618" w:type="dxa"/>
        <w:tblBorders>
          <w:top w:val="none" w:sz="0" w:space="0" w:color="auto"/>
          <w:left w:val="none" w:sz="0" w:space="0" w:color="auto"/>
          <w:bottom w:val="double" w:sz="18" w:space="0" w:color="385623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1"/>
        <w:gridCol w:w="3037"/>
      </w:tblGrid>
      <w:tr w:rsidR="00E46CA7" w:rsidRPr="00E46CA7" w14:paraId="4E95C9CF" w14:textId="77777777" w:rsidTr="00E46CA7">
        <w:trPr>
          <w:trHeight w:val="2899"/>
        </w:trPr>
        <w:tc>
          <w:tcPr>
            <w:tcW w:w="6874" w:type="dxa"/>
          </w:tcPr>
          <w:p w14:paraId="43AF324D" w14:textId="55892F76" w:rsidR="00E46CA7" w:rsidRPr="00E46CA7" w:rsidRDefault="00E46CA7" w:rsidP="00E46CA7">
            <w:pPr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u w:val="single"/>
                <w:lang w:eastAsia="en-US"/>
              </w:rPr>
            </w:pPr>
            <w:r w:rsidRPr="001B07CC">
              <w:rPr>
                <w:rFonts w:eastAsia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74AA42EF" wp14:editId="55474C8A">
                  <wp:simplePos x="0" y="0"/>
                  <wp:positionH relativeFrom="margin">
                    <wp:posOffset>-182880</wp:posOffset>
                  </wp:positionH>
                  <wp:positionV relativeFrom="paragraph">
                    <wp:posOffset>0</wp:posOffset>
                  </wp:positionV>
                  <wp:extent cx="1689100" cy="1581150"/>
                  <wp:effectExtent l="0" t="0" r="6350" b="0"/>
                  <wp:wrapSquare wrapText="bothSides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46CA7">
              <w:rPr>
                <w:rFonts w:ascii="Arial" w:eastAsia="Calibri" w:hAnsi="Arial" w:cs="Arial"/>
                <w:b/>
                <w:bCs/>
                <w:noProof/>
              </w:rPr>
              <w:drawing>
                <wp:inline distT="0" distB="0" distL="0" distR="0" wp14:anchorId="636BEC34" wp14:editId="5D6D74EE">
                  <wp:extent cx="2178050" cy="1574800"/>
                  <wp:effectExtent l="0" t="0" r="0" b="6350"/>
                  <wp:docPr id="86711142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0" cy="157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3298173" w14:textId="77777777" w:rsidR="00E46CA7" w:rsidRPr="00E46CA7" w:rsidRDefault="00E46CA7" w:rsidP="00E46CA7">
            <w:pPr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u w:val="single"/>
                <w:lang w:eastAsia="en-US"/>
              </w:rPr>
            </w:pPr>
          </w:p>
          <w:p w14:paraId="5A57EB92" w14:textId="77777777" w:rsidR="00E46CA7" w:rsidRPr="00E46CA7" w:rsidRDefault="00E46CA7" w:rsidP="00E46CA7">
            <w:pPr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  <w:p w14:paraId="79F53539" w14:textId="77777777" w:rsidR="00E46CA7" w:rsidRPr="00E46CA7" w:rsidRDefault="00E46CA7" w:rsidP="00E46CA7">
            <w:pPr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  <w:p w14:paraId="4F07CF35" w14:textId="77777777" w:rsidR="00E46CA7" w:rsidRPr="00E46CA7" w:rsidRDefault="00E46CA7" w:rsidP="00E46CA7">
            <w:pPr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  <w:p w14:paraId="79A4F5B3" w14:textId="77777777" w:rsidR="00E46CA7" w:rsidRPr="00E46CA7" w:rsidRDefault="00E46CA7" w:rsidP="00E46CA7">
            <w:pPr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  <w:p w14:paraId="4872BEE0" w14:textId="77777777" w:rsidR="00E46CA7" w:rsidRPr="00E46CA7" w:rsidRDefault="00E46CA7" w:rsidP="00E46CA7">
            <w:pPr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2744" w:type="dxa"/>
          </w:tcPr>
          <w:p w14:paraId="7511721C" w14:textId="77777777" w:rsidR="00E46CA7" w:rsidRPr="00E46CA7" w:rsidRDefault="00E46CA7" w:rsidP="00E46CA7">
            <w:pPr>
              <w:spacing w:line="360" w:lineRule="auto"/>
              <w:jc w:val="center"/>
              <w:rPr>
                <w:rFonts w:ascii="Arial" w:eastAsia="Calibri" w:hAnsi="Arial" w:cs="Arial"/>
                <w:lang w:val="en-GB" w:eastAsia="en-US"/>
              </w:rPr>
            </w:pPr>
            <w:r w:rsidRPr="00E46CA7">
              <w:rPr>
                <w:rFonts w:ascii="Arial" w:eastAsia="Calibri" w:hAnsi="Arial" w:cs="Arial"/>
                <w:noProof/>
              </w:rPr>
              <w:drawing>
                <wp:inline distT="0" distB="0" distL="0" distR="0" wp14:anchorId="565710CE" wp14:editId="652CA5E5">
                  <wp:extent cx="1515110" cy="1435735"/>
                  <wp:effectExtent l="0" t="0" r="8890" b="0"/>
                  <wp:docPr id="1932335939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110" cy="1435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9539B1A" w14:textId="77777777" w:rsidR="00E46CA7" w:rsidRPr="00E46CA7" w:rsidRDefault="00E46CA7" w:rsidP="00E46CA7">
            <w:pPr>
              <w:rPr>
                <w:rFonts w:ascii="Arial" w:eastAsia="Calibri" w:hAnsi="Arial" w:cs="Arial"/>
                <w:lang w:val="en-GB" w:eastAsia="en-US"/>
              </w:rPr>
            </w:pPr>
          </w:p>
          <w:p w14:paraId="577202E5" w14:textId="77777777" w:rsidR="00E46CA7" w:rsidRPr="00E46CA7" w:rsidRDefault="00E46CA7" w:rsidP="00E46CA7">
            <w:pPr>
              <w:rPr>
                <w:rFonts w:ascii="Arial" w:eastAsia="Calibri" w:hAnsi="Arial" w:cs="Arial"/>
                <w:lang w:val="en-GB" w:eastAsia="en-US"/>
              </w:rPr>
            </w:pPr>
          </w:p>
          <w:p w14:paraId="2A86599B" w14:textId="77777777" w:rsidR="006E33F6" w:rsidRPr="00AF4E17" w:rsidRDefault="006E33F6" w:rsidP="006E33F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360" w:lineRule="auto"/>
              <w:jc w:val="center"/>
              <w:rPr>
                <w:b/>
                <w:i/>
                <w:spacing w:val="-6"/>
                <w:sz w:val="56"/>
                <w:szCs w:val="56"/>
              </w:rPr>
            </w:pPr>
            <w:r w:rsidRPr="00AF4E17">
              <w:rPr>
                <w:b/>
                <w:i/>
                <w:spacing w:val="-6"/>
                <w:sz w:val="56"/>
                <w:szCs w:val="56"/>
              </w:rPr>
              <w:t>Note conceptuelle</w:t>
            </w:r>
          </w:p>
          <w:p w14:paraId="4BE5EBD9" w14:textId="77777777" w:rsidR="00E46CA7" w:rsidRPr="00E46CA7" w:rsidRDefault="00E46CA7" w:rsidP="00E46CA7">
            <w:pPr>
              <w:jc w:val="center"/>
              <w:rPr>
                <w:rFonts w:ascii="Arial" w:eastAsia="Calibri" w:hAnsi="Arial" w:cs="Arial"/>
                <w:lang w:val="en-GB" w:eastAsia="en-US"/>
              </w:rPr>
            </w:pPr>
          </w:p>
        </w:tc>
      </w:tr>
    </w:tbl>
    <w:p w14:paraId="7881CAF8" w14:textId="094A2023" w:rsidR="00CE5A19" w:rsidRPr="00B25DF6" w:rsidRDefault="00CE5A19" w:rsidP="00996A76">
      <w:pPr>
        <w:spacing w:after="120" w:line="360" w:lineRule="auto"/>
      </w:pPr>
    </w:p>
    <w:p w14:paraId="26549630" w14:textId="26C927C6" w:rsidR="00CE5A19" w:rsidRPr="002C5391" w:rsidRDefault="0057524E" w:rsidP="00996A76">
      <w:pPr>
        <w:spacing w:line="360" w:lineRule="auto"/>
        <w:jc w:val="center"/>
        <w:rPr>
          <w:sz w:val="28"/>
          <w:szCs w:val="28"/>
        </w:rPr>
      </w:pPr>
      <w:r w:rsidRPr="002C5391">
        <w:rPr>
          <w:b/>
          <w:sz w:val="28"/>
          <w:szCs w:val="28"/>
        </w:rPr>
        <w:t xml:space="preserve">HUITIEME </w:t>
      </w:r>
      <w:r w:rsidR="00CE5A19" w:rsidRPr="002C5391">
        <w:rPr>
          <w:b/>
          <w:sz w:val="28"/>
          <w:szCs w:val="28"/>
        </w:rPr>
        <w:t xml:space="preserve">CONGRES </w:t>
      </w:r>
      <w:r w:rsidR="00C8291C">
        <w:rPr>
          <w:b/>
          <w:sz w:val="28"/>
          <w:szCs w:val="28"/>
        </w:rPr>
        <w:t>DE LA CJCA</w:t>
      </w:r>
    </w:p>
    <w:p w14:paraId="059C04B9" w14:textId="77777777" w:rsidR="0057524E" w:rsidRPr="002C5391" w:rsidRDefault="00CE5A19" w:rsidP="00996A76">
      <w:pPr>
        <w:spacing w:line="360" w:lineRule="auto"/>
        <w:jc w:val="center"/>
        <w:rPr>
          <w:sz w:val="28"/>
          <w:szCs w:val="28"/>
        </w:rPr>
      </w:pPr>
      <w:r w:rsidRPr="002C5391">
        <w:rPr>
          <w:sz w:val="28"/>
          <w:szCs w:val="28"/>
        </w:rPr>
        <w:t xml:space="preserve">KINSHASA, REPUBLIQUE DEMOCRATIQUE DU CONGO (HOTEL DU FLEUVE), </w:t>
      </w:r>
    </w:p>
    <w:p w14:paraId="1612804A" w14:textId="528C26FF" w:rsidR="00CE5A19" w:rsidRPr="002C5391" w:rsidRDefault="0057524E" w:rsidP="00996A76">
      <w:pPr>
        <w:spacing w:line="360" w:lineRule="auto"/>
        <w:jc w:val="center"/>
        <w:rPr>
          <w:sz w:val="28"/>
          <w:szCs w:val="28"/>
        </w:rPr>
      </w:pPr>
      <w:r w:rsidRPr="002C5391">
        <w:rPr>
          <w:sz w:val="28"/>
          <w:szCs w:val="28"/>
        </w:rPr>
        <w:t xml:space="preserve">DU 16 AU </w:t>
      </w:r>
      <w:r w:rsidR="00CE5A19" w:rsidRPr="002C5391">
        <w:rPr>
          <w:sz w:val="28"/>
          <w:szCs w:val="28"/>
        </w:rPr>
        <w:t>2</w:t>
      </w:r>
      <w:r w:rsidR="00C8291C">
        <w:rPr>
          <w:sz w:val="28"/>
          <w:szCs w:val="28"/>
        </w:rPr>
        <w:t>1</w:t>
      </w:r>
      <w:r w:rsidR="00CE5A19" w:rsidRPr="002C5391">
        <w:rPr>
          <w:sz w:val="28"/>
          <w:szCs w:val="28"/>
        </w:rPr>
        <w:t xml:space="preserve"> OCTOBRE 2026</w:t>
      </w:r>
    </w:p>
    <w:p w14:paraId="5ED049FB" w14:textId="77777777" w:rsidR="00CE5A19" w:rsidRPr="002C5391" w:rsidRDefault="00CE5A19" w:rsidP="00996A76">
      <w:pPr>
        <w:spacing w:line="360" w:lineRule="auto"/>
        <w:jc w:val="center"/>
        <w:rPr>
          <w:b/>
          <w:sz w:val="28"/>
          <w:szCs w:val="28"/>
        </w:rPr>
      </w:pPr>
    </w:p>
    <w:p w14:paraId="77B31DBD" w14:textId="17F0D07D" w:rsidR="00CE5A19" w:rsidRPr="002C5391" w:rsidRDefault="00C8291C" w:rsidP="00C8291C">
      <w:pPr>
        <w:spacing w:line="360" w:lineRule="auto"/>
        <w:jc w:val="center"/>
        <w:rPr>
          <w:sz w:val="28"/>
          <w:szCs w:val="28"/>
        </w:rPr>
      </w:pPr>
      <w:r w:rsidRPr="00C8291C">
        <w:rPr>
          <w:b/>
          <w:sz w:val="28"/>
          <w:szCs w:val="28"/>
        </w:rPr>
        <w:t xml:space="preserve">CONGRES </w:t>
      </w:r>
      <w:r>
        <w:rPr>
          <w:b/>
          <w:sz w:val="28"/>
          <w:szCs w:val="28"/>
        </w:rPr>
        <w:t>THEMATIQUE</w:t>
      </w:r>
      <w:r w:rsidR="00CE5A19" w:rsidRPr="002C5391">
        <w:rPr>
          <w:b/>
          <w:sz w:val="28"/>
          <w:szCs w:val="28"/>
        </w:rPr>
        <w:t xml:space="preserve"> SUR LE THEME :</w:t>
      </w:r>
    </w:p>
    <w:p w14:paraId="2D88C9A8" w14:textId="77777777" w:rsidR="00CE5A19" w:rsidRPr="00D9508E" w:rsidRDefault="00CE5A19" w:rsidP="00996A76">
      <w:pPr>
        <w:spacing w:line="360" w:lineRule="auto"/>
        <w:jc w:val="center"/>
      </w:pPr>
    </w:p>
    <w:p w14:paraId="73ACFE61" w14:textId="77777777" w:rsidR="00CE5A19" w:rsidRPr="00850877" w:rsidRDefault="00CE5A19" w:rsidP="00996A76">
      <w:pPr>
        <w:spacing w:line="360" w:lineRule="auto"/>
        <w:jc w:val="center"/>
        <w:rPr>
          <w:sz w:val="32"/>
          <w:szCs w:val="32"/>
        </w:rPr>
      </w:pPr>
      <w:r w:rsidRPr="00850877">
        <w:rPr>
          <w:b/>
          <w:bCs/>
          <w:iCs/>
          <w:color w:val="FFFFFF"/>
          <w:sz w:val="32"/>
          <w:szCs w:val="32"/>
          <w:highlight w:val="black"/>
        </w:rPr>
        <w:t>LA FONCTION CONSTITUANTE DU JUGE CONSTITUTIONNEL AFRICAIN</w:t>
      </w:r>
    </w:p>
    <w:p w14:paraId="4EA7D2F6" w14:textId="77777777" w:rsidR="00CE5A19" w:rsidRPr="00D9508E" w:rsidRDefault="00CE5A19" w:rsidP="00996A76">
      <w:pPr>
        <w:spacing w:line="360" w:lineRule="auto"/>
        <w:rPr>
          <w:u w:val="single"/>
        </w:rPr>
      </w:pPr>
    </w:p>
    <w:p w14:paraId="17550DCC" w14:textId="03B697A8" w:rsidR="00CE5A19" w:rsidRPr="00D9508E" w:rsidRDefault="00CE5A19" w:rsidP="00996A7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b/>
          <w:i/>
          <w:spacing w:val="-6"/>
        </w:rPr>
      </w:pPr>
      <w:r w:rsidRPr="00D9508E">
        <w:rPr>
          <w:b/>
          <w:i/>
          <w:spacing w:val="-6"/>
        </w:rPr>
        <w:t xml:space="preserve">                                                                    </w:t>
      </w:r>
    </w:p>
    <w:p w14:paraId="34FF0A33" w14:textId="77777777" w:rsidR="00CE5A19" w:rsidRPr="00D9508E" w:rsidRDefault="00CE5A19" w:rsidP="00996A7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b/>
          <w:i/>
          <w:spacing w:val="-6"/>
        </w:rPr>
      </w:pPr>
      <w:r w:rsidRPr="00D9508E">
        <w:rPr>
          <w:b/>
          <w:i/>
          <w:spacing w:val="-6"/>
        </w:rPr>
        <w:t xml:space="preserve">                                                    </w:t>
      </w:r>
    </w:p>
    <w:p w14:paraId="37371E1F" w14:textId="77777777" w:rsidR="00CE5A19" w:rsidRPr="00AF4E17" w:rsidRDefault="00CE5A19" w:rsidP="00996A7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center"/>
        <w:rPr>
          <w:b/>
          <w:i/>
          <w:spacing w:val="-6"/>
          <w:sz w:val="56"/>
          <w:szCs w:val="56"/>
        </w:rPr>
      </w:pPr>
      <w:r w:rsidRPr="00AF4E17">
        <w:rPr>
          <w:b/>
          <w:i/>
          <w:spacing w:val="-6"/>
          <w:sz w:val="56"/>
          <w:szCs w:val="56"/>
        </w:rPr>
        <w:lastRenderedPageBreak/>
        <w:t>Note conceptuelle</w:t>
      </w:r>
    </w:p>
    <w:p w14:paraId="395BE6D0" w14:textId="19D02F54" w:rsidR="00404886" w:rsidRDefault="00404886">
      <w:pPr>
        <w:spacing w:after="160" w:line="259" w:lineRule="auto"/>
      </w:pPr>
    </w:p>
    <w:p w14:paraId="088B489A" w14:textId="31546125" w:rsidR="00A258D3" w:rsidRPr="002B39CB" w:rsidRDefault="005760B3" w:rsidP="00996A7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0" w:firstLine="0"/>
        <w:jc w:val="both"/>
      </w:pPr>
      <w:r w:rsidRPr="002B39CB">
        <w:t>L</w:t>
      </w:r>
      <w:r w:rsidR="00477D4C" w:rsidRPr="002B39CB">
        <w:t>es Etats africains connaissent</w:t>
      </w:r>
      <w:r w:rsidRPr="002B39CB">
        <w:t xml:space="preserve">, depuis </w:t>
      </w:r>
      <w:r w:rsidR="001616E2">
        <w:t>la nouvelle ère du renouveau démocratique et du constitutionnalisme moderne</w:t>
      </w:r>
      <w:r w:rsidRPr="002B39CB">
        <w:t>,</w:t>
      </w:r>
      <w:r w:rsidR="00477D4C" w:rsidRPr="002B39CB">
        <w:t xml:space="preserve"> </w:t>
      </w:r>
      <w:r w:rsidR="001616E2">
        <w:t>l’émergence d’</w:t>
      </w:r>
      <w:r w:rsidR="00477D4C" w:rsidRPr="002B39CB">
        <w:t xml:space="preserve">un nouveau système constitutionnel dans lequel </w:t>
      </w:r>
      <w:r w:rsidR="001E2419">
        <w:t>le</w:t>
      </w:r>
      <w:r w:rsidRPr="002B39CB">
        <w:t xml:space="preserve"> juge constitutionnel</w:t>
      </w:r>
      <w:r w:rsidR="00477D4C" w:rsidRPr="002B39CB">
        <w:t xml:space="preserve"> se révèle </w:t>
      </w:r>
      <w:r w:rsidR="001E2419">
        <w:t>incontournable</w:t>
      </w:r>
      <w:r w:rsidR="00477D4C" w:rsidRPr="002B39CB">
        <w:t xml:space="preserve">. </w:t>
      </w:r>
      <w:r w:rsidR="00850877" w:rsidRPr="002B39CB">
        <w:t xml:space="preserve">Il est évident, en effet, </w:t>
      </w:r>
      <w:r w:rsidR="00477D4C" w:rsidRPr="002B39CB">
        <w:t xml:space="preserve">qu’au regard de </w:t>
      </w:r>
      <w:r w:rsidR="001E2419">
        <w:t xml:space="preserve">cette </w:t>
      </w:r>
      <w:r w:rsidR="001E2419" w:rsidRPr="002B39CB">
        <w:t xml:space="preserve">évolution </w:t>
      </w:r>
      <w:r w:rsidR="00477D4C" w:rsidRPr="002B39CB">
        <w:t>constit</w:t>
      </w:r>
      <w:r w:rsidR="00850877" w:rsidRPr="002B39CB">
        <w:t xml:space="preserve">utionnelle </w:t>
      </w:r>
      <w:r w:rsidR="001E2419">
        <w:t>marquée</w:t>
      </w:r>
      <w:r w:rsidR="00CD518B">
        <w:t xml:space="preserve">, </w:t>
      </w:r>
      <w:r w:rsidR="00850877" w:rsidRPr="002B39CB">
        <w:t xml:space="preserve">notamment, </w:t>
      </w:r>
      <w:r w:rsidR="001E2419">
        <w:t>par</w:t>
      </w:r>
      <w:r w:rsidR="001E2419" w:rsidRPr="002B39CB">
        <w:t xml:space="preserve"> </w:t>
      </w:r>
      <w:r w:rsidR="001E2419">
        <w:t>d</w:t>
      </w:r>
      <w:r w:rsidR="001E2419" w:rsidRPr="002B39CB">
        <w:t xml:space="preserve">es </w:t>
      </w:r>
      <w:r w:rsidR="00477D4C" w:rsidRPr="002B39CB">
        <w:t>réformes constitutionnelles, institutionnelles et politiques majeures entreprises au lendemain des années 90, l’avènement du ju</w:t>
      </w:r>
      <w:r w:rsidR="00850877" w:rsidRPr="002B39CB">
        <w:t xml:space="preserve">ge constitutionnel constitue un levier </w:t>
      </w:r>
      <w:r w:rsidR="001E2419">
        <w:t>important</w:t>
      </w:r>
      <w:r w:rsidR="00477D4C" w:rsidRPr="002B39CB">
        <w:t xml:space="preserve"> de la nouvelle configuration du pouvoir judiciaire </w:t>
      </w:r>
      <w:r w:rsidR="001E2419">
        <w:t>au sein d</w:t>
      </w:r>
      <w:r w:rsidR="00477D4C" w:rsidRPr="002B39CB">
        <w:t xml:space="preserve">es </w:t>
      </w:r>
      <w:r w:rsidR="001E2419" w:rsidRPr="002B39CB">
        <w:t>États</w:t>
      </w:r>
      <w:r w:rsidR="00477D4C" w:rsidRPr="002B39CB">
        <w:t xml:space="preserve"> africains</w:t>
      </w:r>
      <w:r w:rsidR="001E2419">
        <w:t>, eu égard au</w:t>
      </w:r>
      <w:r w:rsidR="00CD518B">
        <w:t xml:space="preserve"> rôle central </w:t>
      </w:r>
      <w:r w:rsidR="00477D4C" w:rsidRPr="002B39CB">
        <w:t>qu’il joue dans la protection des droits fondamentaux et la consolidation de l’Etat de droit</w:t>
      </w:r>
      <w:r w:rsidR="00A258D3" w:rsidRPr="002B39CB">
        <w:rPr>
          <w:rStyle w:val="FootnoteReference"/>
        </w:rPr>
        <w:footnoteReference w:id="1"/>
      </w:r>
      <w:r w:rsidR="00477D4C" w:rsidRPr="002B39CB">
        <w:t>.</w:t>
      </w:r>
    </w:p>
    <w:p w14:paraId="72E3F3F5" w14:textId="5C2D0D73" w:rsidR="00CE5A19" w:rsidRPr="002B39CB" w:rsidRDefault="00A258D3" w:rsidP="00996A7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0" w:firstLine="0"/>
        <w:jc w:val="both"/>
      </w:pPr>
      <w:r w:rsidRPr="002B39CB">
        <w:t>D</w:t>
      </w:r>
      <w:r w:rsidR="0091782D" w:rsidRPr="002B39CB">
        <w:t>ans cette mouvance</w:t>
      </w:r>
      <w:r w:rsidR="001E2419">
        <w:t xml:space="preserve"> de résurrection institutionnelle</w:t>
      </w:r>
      <w:r w:rsidR="00CE5A19" w:rsidRPr="002B39CB">
        <w:t>,</w:t>
      </w:r>
      <w:r w:rsidR="00850877" w:rsidRPr="002B39CB">
        <w:t xml:space="preserve"> </w:t>
      </w:r>
      <w:r w:rsidR="00E70232">
        <w:t>l</w:t>
      </w:r>
      <w:r w:rsidR="00E70232" w:rsidRPr="002B39CB">
        <w:t>a Constitution</w:t>
      </w:r>
      <w:r w:rsidR="00E70232">
        <w:t xml:space="preserve"> consacre le</w:t>
      </w:r>
      <w:r w:rsidR="00CE5A19" w:rsidRPr="002B39CB">
        <w:t xml:space="preserve"> juge constitutionnel</w:t>
      </w:r>
      <w:r w:rsidR="00E70232">
        <w:t xml:space="preserve"> et</w:t>
      </w:r>
      <w:r w:rsidR="00CE5A19" w:rsidRPr="002B39CB">
        <w:t xml:space="preserve"> </w:t>
      </w:r>
      <w:r w:rsidR="00E70232" w:rsidRPr="002B39CB">
        <w:t>fixe limitativement ses compétences</w:t>
      </w:r>
      <w:r w:rsidR="00E70232" w:rsidRPr="002B39CB">
        <w:rPr>
          <w:rStyle w:val="FootnoteReference"/>
        </w:rPr>
        <w:footnoteReference w:id="2"/>
      </w:r>
      <w:r w:rsidR="00E70232">
        <w:t xml:space="preserve"> en fondant</w:t>
      </w:r>
      <w:r w:rsidR="00CE5A19" w:rsidRPr="002B39CB">
        <w:t xml:space="preserve"> essentiellement </w:t>
      </w:r>
      <w:r w:rsidR="00E70232">
        <w:t xml:space="preserve">son rôle </w:t>
      </w:r>
      <w:r w:rsidR="00CE5A19" w:rsidRPr="002B39CB">
        <w:t xml:space="preserve">sur la </w:t>
      </w:r>
      <w:r w:rsidR="001E2419">
        <w:t xml:space="preserve">nécessité d’assurer ou de </w:t>
      </w:r>
      <w:r w:rsidR="001E2419" w:rsidRPr="002B39CB">
        <w:t>garanti</w:t>
      </w:r>
      <w:r w:rsidR="001E2419">
        <w:t>r</w:t>
      </w:r>
      <w:r w:rsidR="00CE5A19" w:rsidRPr="002B39CB">
        <w:t xml:space="preserve"> la suprématie de </w:t>
      </w:r>
      <w:r w:rsidR="00E70232">
        <w:t>celle-ci</w:t>
      </w:r>
      <w:r w:rsidR="0018052B" w:rsidRPr="002B39CB">
        <w:t xml:space="preserve">. </w:t>
      </w:r>
      <w:r w:rsidR="0062474C" w:rsidRPr="002B39CB">
        <w:t>Si l’accès à l’office du juge constitutionnel africain s’est très souvent révélé différencié, il n’en demeure pas moins qu</w:t>
      </w:r>
      <w:r w:rsidR="00337B95" w:rsidRPr="002B39CB">
        <w:t>e ce « </w:t>
      </w:r>
      <w:r w:rsidR="00337B95" w:rsidRPr="002B39CB">
        <w:rPr>
          <w:i/>
          <w:iCs/>
        </w:rPr>
        <w:t>constituant de robe</w:t>
      </w:r>
      <w:r w:rsidR="00337B95" w:rsidRPr="002B39CB">
        <w:t> »</w:t>
      </w:r>
      <w:r w:rsidR="00337B95" w:rsidRPr="002B39CB">
        <w:rPr>
          <w:rStyle w:val="FootnoteReference"/>
        </w:rPr>
        <w:footnoteReference w:id="3"/>
      </w:r>
      <w:r w:rsidR="0062474C" w:rsidRPr="002B39CB">
        <w:t xml:space="preserve"> partage, en général, le même office.</w:t>
      </w:r>
      <w:r w:rsidR="00416CF2" w:rsidRPr="002B39CB">
        <w:t xml:space="preserve"> </w:t>
      </w:r>
      <w:r w:rsidR="00497C6B" w:rsidRPr="002B39CB">
        <w:t>Par l</w:t>
      </w:r>
      <w:r w:rsidR="00D84F44" w:rsidRPr="002B39CB">
        <w:t xml:space="preserve">’exercice de </w:t>
      </w:r>
      <w:r w:rsidR="005F1611" w:rsidRPr="002B39CB">
        <w:t>s</w:t>
      </w:r>
      <w:r w:rsidR="00D84F44" w:rsidRPr="002B39CB">
        <w:t>es compétences</w:t>
      </w:r>
      <w:r w:rsidR="005F1611" w:rsidRPr="002B39CB">
        <w:t xml:space="preserve"> constitutionnell</w:t>
      </w:r>
      <w:r w:rsidR="0091782D" w:rsidRPr="002B39CB">
        <w:t>es</w:t>
      </w:r>
      <w:r w:rsidR="00497C6B" w:rsidRPr="002B39CB">
        <w:t>,</w:t>
      </w:r>
      <w:r w:rsidR="00D84F44" w:rsidRPr="002B39CB">
        <w:t xml:space="preserve"> </w:t>
      </w:r>
      <w:r w:rsidR="00E70232">
        <w:t>il</w:t>
      </w:r>
      <w:r w:rsidR="00376471" w:rsidRPr="002B39CB">
        <w:t xml:space="preserve"> </w:t>
      </w:r>
      <w:r w:rsidR="00497C6B" w:rsidRPr="002B39CB">
        <w:t xml:space="preserve">dévoile l’esprit de la règle </w:t>
      </w:r>
      <w:r w:rsidR="00417254">
        <w:t xml:space="preserve">constitutionnelle </w:t>
      </w:r>
      <w:r w:rsidR="00497C6B" w:rsidRPr="002B39CB">
        <w:t>et en délivre le secret</w:t>
      </w:r>
      <w:r w:rsidR="00497C6B" w:rsidRPr="002B39CB">
        <w:rPr>
          <w:rStyle w:val="FootnoteReference"/>
        </w:rPr>
        <w:footnoteReference w:id="4"/>
      </w:r>
      <w:r w:rsidR="005F1611" w:rsidRPr="002B39CB">
        <w:t xml:space="preserve">. </w:t>
      </w:r>
      <w:r w:rsidR="002B39CB">
        <w:t xml:space="preserve">Contrairement au constituant originaire </w:t>
      </w:r>
      <w:r w:rsidR="00D5368D" w:rsidRPr="002B39CB">
        <w:t xml:space="preserve">qui n’émet que des mots, il revient au juge constitutionnel de dire ce </w:t>
      </w:r>
      <w:r w:rsidR="002D767D">
        <w:t xml:space="preserve">que </w:t>
      </w:r>
      <w:r w:rsidR="00E70232">
        <w:t>ceux-ci</w:t>
      </w:r>
      <w:r w:rsidR="00E70232" w:rsidRPr="002B39CB">
        <w:t xml:space="preserve"> </w:t>
      </w:r>
      <w:r w:rsidR="00D5368D" w:rsidRPr="002B39CB">
        <w:t>signifient</w:t>
      </w:r>
      <w:r w:rsidR="009925C6" w:rsidRPr="002B39CB">
        <w:rPr>
          <w:rStyle w:val="FootnoteReference"/>
        </w:rPr>
        <w:footnoteReference w:id="5"/>
      </w:r>
      <w:r w:rsidR="00D5368D" w:rsidRPr="002B39CB">
        <w:t xml:space="preserve">. </w:t>
      </w:r>
      <w:r w:rsidR="00E70232">
        <w:t>Vu sous ce regard</w:t>
      </w:r>
      <w:r w:rsidR="005F1611" w:rsidRPr="002B39CB">
        <w:t xml:space="preserve">, </w:t>
      </w:r>
      <w:r w:rsidR="00D5368D" w:rsidRPr="002B39CB">
        <w:t xml:space="preserve">le juge constitutionnel </w:t>
      </w:r>
      <w:r w:rsidR="00F942C9" w:rsidRPr="002B39CB">
        <w:t xml:space="preserve">se </w:t>
      </w:r>
      <w:r w:rsidR="00D5368D" w:rsidRPr="002B39CB">
        <w:t xml:space="preserve">présente </w:t>
      </w:r>
      <w:r w:rsidR="009925C6" w:rsidRPr="002B39CB">
        <w:t xml:space="preserve">donc </w:t>
      </w:r>
      <w:r w:rsidR="00F942C9" w:rsidRPr="002B39CB">
        <w:t xml:space="preserve">comme </w:t>
      </w:r>
      <w:r w:rsidR="00D5368D" w:rsidRPr="002B39CB">
        <w:t xml:space="preserve">un </w:t>
      </w:r>
      <w:r w:rsidR="00991F21" w:rsidRPr="002B39CB">
        <w:t>constituant</w:t>
      </w:r>
      <w:r w:rsidR="00903C56" w:rsidRPr="002B39CB">
        <w:t>.</w:t>
      </w:r>
      <w:r w:rsidR="00991F21" w:rsidRPr="002B39CB">
        <w:t xml:space="preserve"> </w:t>
      </w:r>
    </w:p>
    <w:p w14:paraId="733BE11D" w14:textId="17A109CD" w:rsidR="0091782D" w:rsidRPr="002B39CB" w:rsidRDefault="00F532B6" w:rsidP="00996A7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0" w:firstLine="0"/>
        <w:jc w:val="both"/>
      </w:pPr>
      <w:r>
        <w:rPr>
          <w:rFonts w:eastAsia="Calibri"/>
          <w:kern w:val="2"/>
          <w:lang w:val="fr-CM" w:eastAsia="en-US"/>
          <w14:ligatures w14:val="standardContextual"/>
        </w:rPr>
        <w:t xml:space="preserve">En guise de définition, la </w:t>
      </w:r>
      <w:r w:rsidR="0045435E" w:rsidRPr="002B39CB">
        <w:rPr>
          <w:rFonts w:eastAsia="Calibri"/>
          <w:kern w:val="2"/>
          <w:lang w:val="fr-CM" w:eastAsia="en-US"/>
          <w14:ligatures w14:val="standardContextual"/>
        </w:rPr>
        <w:t>fonction constituante fait allusion au pouvoir de créer</w:t>
      </w:r>
      <w:r w:rsidR="0045435E" w:rsidRPr="002B39CB">
        <w:rPr>
          <w:rStyle w:val="FootnoteReference"/>
          <w:rFonts w:eastAsia="Calibri"/>
          <w:kern w:val="2"/>
          <w:lang w:val="fr-CM" w:eastAsia="en-US"/>
          <w14:ligatures w14:val="standardContextual"/>
        </w:rPr>
        <w:footnoteReference w:id="6"/>
      </w:r>
      <w:r w:rsidR="0045435E" w:rsidRPr="002B39CB">
        <w:rPr>
          <w:rFonts w:eastAsia="Calibri"/>
          <w:kern w:val="2"/>
          <w:lang w:val="fr-CM" w:eastAsia="en-US"/>
          <w14:ligatures w14:val="standardContextual"/>
        </w:rPr>
        <w:t xml:space="preserve"> une Constitution ou celui de la modifier</w:t>
      </w:r>
      <w:r w:rsidR="0045435E" w:rsidRPr="002B39CB">
        <w:rPr>
          <w:rStyle w:val="FootnoteReference"/>
          <w:rFonts w:eastAsia="Calibri"/>
          <w:kern w:val="2"/>
          <w:lang w:val="fr-CM" w:eastAsia="en-US"/>
          <w14:ligatures w14:val="standardContextual"/>
        </w:rPr>
        <w:footnoteReference w:id="7"/>
      </w:r>
      <w:r w:rsidR="0045435E" w:rsidRPr="002B39CB">
        <w:rPr>
          <w:rFonts w:eastAsia="Calibri"/>
          <w:kern w:val="2"/>
          <w:lang w:val="fr-CM" w:eastAsia="en-US"/>
          <w14:ligatures w14:val="standardContextual"/>
        </w:rPr>
        <w:t>.</w:t>
      </w:r>
      <w:r w:rsidR="0045435E" w:rsidRPr="002B39CB">
        <w:t xml:space="preserve"> </w:t>
      </w:r>
      <w:r w:rsidR="005F28A9">
        <w:t xml:space="preserve">Pour le </w:t>
      </w:r>
      <w:r w:rsidR="005F28A9">
        <w:rPr>
          <w:sz w:val="23"/>
          <w:szCs w:val="23"/>
        </w:rPr>
        <w:t>juge constitutionnel, i</w:t>
      </w:r>
      <w:r w:rsidR="005F28A9">
        <w:t xml:space="preserve">l s’agit </w:t>
      </w:r>
      <w:r w:rsidR="0045435E" w:rsidRPr="002B39CB">
        <w:t>de cette</w:t>
      </w:r>
      <w:r w:rsidR="0045435E" w:rsidRPr="002B39CB">
        <w:rPr>
          <w:sz w:val="23"/>
          <w:szCs w:val="23"/>
        </w:rPr>
        <w:t xml:space="preserve"> faculté </w:t>
      </w:r>
      <w:r w:rsidR="005F28A9">
        <w:rPr>
          <w:sz w:val="23"/>
          <w:szCs w:val="23"/>
        </w:rPr>
        <w:t xml:space="preserve">lui reconnue </w:t>
      </w:r>
      <w:r w:rsidR="0045435E" w:rsidRPr="002B39CB">
        <w:rPr>
          <w:i/>
          <w:iCs/>
          <w:sz w:val="23"/>
          <w:szCs w:val="23"/>
        </w:rPr>
        <w:t xml:space="preserve">de changer </w:t>
      </w:r>
      <w:r w:rsidR="0045435E" w:rsidRPr="002B39CB">
        <w:rPr>
          <w:sz w:val="23"/>
          <w:szCs w:val="23"/>
        </w:rPr>
        <w:t>la teneur du bloc de constitutionnalité</w:t>
      </w:r>
      <w:r w:rsidR="0045435E" w:rsidRPr="002B39CB">
        <w:rPr>
          <w:sz w:val="14"/>
          <w:szCs w:val="14"/>
        </w:rPr>
        <w:t xml:space="preserve"> </w:t>
      </w:r>
      <w:r w:rsidR="005F28A9">
        <w:rPr>
          <w:sz w:val="23"/>
          <w:szCs w:val="23"/>
        </w:rPr>
        <w:t>en dot</w:t>
      </w:r>
      <w:r w:rsidR="0045435E" w:rsidRPr="002B39CB">
        <w:rPr>
          <w:sz w:val="23"/>
          <w:szCs w:val="23"/>
        </w:rPr>
        <w:t>ant ou en ôtant</w:t>
      </w:r>
      <w:r w:rsidR="0045435E" w:rsidRPr="002B39CB">
        <w:rPr>
          <w:sz w:val="14"/>
          <w:szCs w:val="14"/>
        </w:rPr>
        <w:t xml:space="preserve"> </w:t>
      </w:r>
      <w:r w:rsidR="0045435E" w:rsidRPr="002B39CB">
        <w:rPr>
          <w:sz w:val="23"/>
          <w:szCs w:val="23"/>
        </w:rPr>
        <w:t>la valeur constitutionnelle à de</w:t>
      </w:r>
      <w:r w:rsidR="009925C6" w:rsidRPr="002B39CB">
        <w:rPr>
          <w:sz w:val="23"/>
          <w:szCs w:val="23"/>
        </w:rPr>
        <w:t xml:space="preserve">s textes ou principes existants, </w:t>
      </w:r>
      <w:r w:rsidR="0045435E" w:rsidRPr="002B39CB">
        <w:rPr>
          <w:sz w:val="23"/>
          <w:szCs w:val="23"/>
        </w:rPr>
        <w:t>d’une part, et en créant des règles, des principes, voire des objectifs de valeur constitutionnelle, d’autre part</w:t>
      </w:r>
      <w:r w:rsidR="0045435E" w:rsidRPr="002B39CB">
        <w:rPr>
          <w:rStyle w:val="FootnoteReference"/>
          <w:sz w:val="23"/>
          <w:szCs w:val="23"/>
        </w:rPr>
        <w:footnoteReference w:id="8"/>
      </w:r>
      <w:r w:rsidR="0045435E" w:rsidRPr="002B39CB">
        <w:rPr>
          <w:sz w:val="23"/>
          <w:szCs w:val="23"/>
        </w:rPr>
        <w:t xml:space="preserve">. </w:t>
      </w:r>
    </w:p>
    <w:p w14:paraId="2E12E75B" w14:textId="5E9727B6" w:rsidR="00CE5A19" w:rsidRPr="002B39CB" w:rsidRDefault="00CE5A19" w:rsidP="00996A7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0" w:firstLine="0"/>
        <w:jc w:val="both"/>
      </w:pPr>
      <w:r w:rsidRPr="002B39CB">
        <w:rPr>
          <w:spacing w:val="-6"/>
        </w:rPr>
        <w:t xml:space="preserve">L’émergence de la fonction </w:t>
      </w:r>
      <w:r w:rsidR="00903C56" w:rsidRPr="002B39CB">
        <w:rPr>
          <w:spacing w:val="-6"/>
        </w:rPr>
        <w:t xml:space="preserve">constituante du juge constitutionnel africain </w:t>
      </w:r>
      <w:r w:rsidRPr="002B39CB">
        <w:rPr>
          <w:spacing w:val="-6"/>
        </w:rPr>
        <w:t>a conduit</w:t>
      </w:r>
      <w:r w:rsidR="00E70232">
        <w:rPr>
          <w:spacing w:val="-6"/>
        </w:rPr>
        <w:t xml:space="preserve"> ce dernier</w:t>
      </w:r>
      <w:r w:rsidR="00213F3B" w:rsidRPr="002B39CB">
        <w:rPr>
          <w:spacing w:val="-6"/>
        </w:rPr>
        <w:t>, ainsi que l’affirme</w:t>
      </w:r>
      <w:r w:rsidRPr="002B39CB">
        <w:rPr>
          <w:spacing w:val="-6"/>
        </w:rPr>
        <w:t xml:space="preserve"> Jean Rivéro, à </w:t>
      </w:r>
      <w:r w:rsidR="009925C6" w:rsidRPr="002B39CB">
        <w:rPr>
          <w:spacing w:val="-6"/>
        </w:rPr>
        <w:t xml:space="preserve">son </w:t>
      </w:r>
      <w:r w:rsidRPr="002B39CB">
        <w:rPr>
          <w:spacing w:val="-6"/>
        </w:rPr>
        <w:t xml:space="preserve">déplacement systématique </w:t>
      </w:r>
      <w:r w:rsidR="009925C6" w:rsidRPr="002B39CB">
        <w:t xml:space="preserve">sur l’orbite où </w:t>
      </w:r>
      <w:r w:rsidR="00EA711D" w:rsidRPr="002B39CB">
        <w:t xml:space="preserve">son </w:t>
      </w:r>
      <w:r w:rsidRPr="002B39CB">
        <w:t>créateur avait entendu le placer</w:t>
      </w:r>
      <w:r w:rsidRPr="002B39CB">
        <w:rPr>
          <w:rStyle w:val="FootnoteReference"/>
        </w:rPr>
        <w:footnoteReference w:id="9"/>
      </w:r>
      <w:r w:rsidRPr="002B39CB">
        <w:t xml:space="preserve">. </w:t>
      </w:r>
      <w:r w:rsidR="00213F3B" w:rsidRPr="002B39CB">
        <w:t>Il participe</w:t>
      </w:r>
      <w:r w:rsidR="009925C6" w:rsidRPr="002B39CB">
        <w:t xml:space="preserve">, </w:t>
      </w:r>
      <w:r w:rsidR="00EA711D" w:rsidRPr="002B39CB">
        <w:t>de ce fait,</w:t>
      </w:r>
      <w:r w:rsidRPr="002B39CB">
        <w:t xml:space="preserve"> à l’exercice du pouvoir constituant, en apparence</w:t>
      </w:r>
      <w:r w:rsidRPr="002B39CB">
        <w:rPr>
          <w:rStyle w:val="FootnoteReference"/>
        </w:rPr>
        <w:footnoteReference w:id="10"/>
      </w:r>
      <w:r w:rsidRPr="002B39CB">
        <w:t xml:space="preserve">, </w:t>
      </w:r>
      <w:r w:rsidR="00EA711D" w:rsidRPr="002B39CB">
        <w:t>au</w:t>
      </w:r>
      <w:r w:rsidRPr="002B39CB">
        <w:t xml:space="preserve"> travers </w:t>
      </w:r>
      <w:r w:rsidR="00EA711D" w:rsidRPr="002B39CB">
        <w:t>d</w:t>
      </w:r>
      <w:r w:rsidRPr="002B39CB">
        <w:t xml:space="preserve">e </w:t>
      </w:r>
      <w:r w:rsidR="00EA711D" w:rsidRPr="002B39CB">
        <w:t>l’implémentation fréquente des pouvoirs lui reconnus par le constituant</w:t>
      </w:r>
      <w:r w:rsidR="00567423" w:rsidRPr="002B39CB">
        <w:rPr>
          <w:rStyle w:val="FootnoteReference"/>
        </w:rPr>
        <w:footnoteReference w:id="11"/>
      </w:r>
      <w:r w:rsidRPr="002B39CB">
        <w:t xml:space="preserve">. </w:t>
      </w:r>
    </w:p>
    <w:p w14:paraId="1A31C26B" w14:textId="6E6D11B3" w:rsidR="00567423" w:rsidRPr="002B39CB" w:rsidRDefault="00E70232" w:rsidP="00C57297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0" w:firstLine="0"/>
        <w:jc w:val="both"/>
      </w:pPr>
      <w:r>
        <w:rPr>
          <w:lang w:val="fr-CM"/>
        </w:rPr>
        <w:t>De</w:t>
      </w:r>
      <w:r w:rsidRPr="002B39CB">
        <w:rPr>
          <w:lang w:val="fr-CM"/>
        </w:rPr>
        <w:t xml:space="preserve"> </w:t>
      </w:r>
      <w:r w:rsidR="002543D6" w:rsidRPr="002B39CB">
        <w:rPr>
          <w:lang w:val="fr-CM"/>
        </w:rPr>
        <w:t>fait</w:t>
      </w:r>
      <w:r w:rsidR="00C61E5F" w:rsidRPr="002B39CB">
        <w:rPr>
          <w:lang w:val="fr-CM"/>
        </w:rPr>
        <w:t xml:space="preserve">, </w:t>
      </w:r>
      <w:r w:rsidR="006C0AEE" w:rsidRPr="002B39CB">
        <w:rPr>
          <w:lang w:val="fr-CM"/>
        </w:rPr>
        <w:t xml:space="preserve">comme </w:t>
      </w:r>
      <w:r w:rsidR="006C0AEE">
        <w:rPr>
          <w:lang w:val="fr-CM"/>
        </w:rPr>
        <w:t xml:space="preserve">il en est pour </w:t>
      </w:r>
      <w:r w:rsidR="006C0AEE" w:rsidRPr="002B39CB">
        <w:rPr>
          <w:lang w:val="fr-CM"/>
        </w:rPr>
        <w:t>la nature</w:t>
      </w:r>
      <w:r w:rsidR="006C0AEE">
        <w:rPr>
          <w:lang w:val="fr-CM"/>
        </w:rPr>
        <w:t xml:space="preserve">, </w:t>
      </w:r>
      <w:r w:rsidR="00C61E5F" w:rsidRPr="002B39CB">
        <w:rPr>
          <w:lang w:val="fr-CM"/>
        </w:rPr>
        <w:t>l</w:t>
      </w:r>
      <w:r w:rsidR="00EC4AF6" w:rsidRPr="002B39CB">
        <w:rPr>
          <w:lang w:val="fr-CM"/>
        </w:rPr>
        <w:t>e droit a horreur du vide</w:t>
      </w:r>
      <w:r w:rsidR="002543D6" w:rsidRPr="002B39CB">
        <w:rPr>
          <w:rStyle w:val="FootnoteReference"/>
          <w:lang w:val="fr-CM"/>
        </w:rPr>
        <w:footnoteReference w:id="12"/>
      </w:r>
      <w:r w:rsidR="00EC4AF6" w:rsidRPr="002B39CB">
        <w:rPr>
          <w:lang w:val="fr-CM"/>
        </w:rPr>
        <w:t>. L</w:t>
      </w:r>
      <w:r>
        <w:rPr>
          <w:lang w:val="fr-CM"/>
        </w:rPr>
        <w:t>’exercice</w:t>
      </w:r>
      <w:r w:rsidR="00EC4AF6" w:rsidRPr="002B39CB">
        <w:rPr>
          <w:lang w:val="fr-CM"/>
        </w:rPr>
        <w:t xml:space="preserve"> de </w:t>
      </w:r>
      <w:r>
        <w:rPr>
          <w:lang w:val="fr-CM"/>
        </w:rPr>
        <w:t>la fonction</w:t>
      </w:r>
      <w:r w:rsidRPr="002B39CB">
        <w:rPr>
          <w:lang w:val="fr-CM"/>
        </w:rPr>
        <w:t xml:space="preserve"> </w:t>
      </w:r>
      <w:r w:rsidR="00EC4AF6" w:rsidRPr="002B39CB">
        <w:rPr>
          <w:lang w:val="fr-CM"/>
        </w:rPr>
        <w:t xml:space="preserve">constituante justifie les incursions </w:t>
      </w:r>
      <w:r w:rsidR="00C57297" w:rsidRPr="002B39CB">
        <w:rPr>
          <w:lang w:val="fr-CM"/>
        </w:rPr>
        <w:t xml:space="preserve">très </w:t>
      </w:r>
      <w:r w:rsidR="00EC4AF6" w:rsidRPr="002B39CB">
        <w:rPr>
          <w:lang w:val="fr-CM"/>
        </w:rPr>
        <w:t>fréquentes du juge constitutionnel</w:t>
      </w:r>
      <w:r w:rsidR="00940070" w:rsidRPr="002B39CB">
        <w:rPr>
          <w:lang w:val="fr-CM"/>
        </w:rPr>
        <w:t xml:space="preserve"> dans</w:t>
      </w:r>
      <w:r w:rsidR="00567423" w:rsidRPr="002B39CB">
        <w:t xml:space="preserve"> l’œuvre du constituant. </w:t>
      </w:r>
      <w:r w:rsidR="00765EB0">
        <w:rPr>
          <w:rFonts w:eastAsiaTheme="minorHAnsi"/>
          <w:lang w:val="fr-CM" w:eastAsia="en-US"/>
        </w:rPr>
        <w:t xml:space="preserve">Les vides et les équivoques </w:t>
      </w:r>
      <w:r w:rsidR="00C57297" w:rsidRPr="002B39CB">
        <w:rPr>
          <w:rFonts w:eastAsiaTheme="minorHAnsi"/>
          <w:lang w:val="fr-CM" w:eastAsia="en-US"/>
        </w:rPr>
        <w:t>constitutionnels constituent souvent des terreaux fertiles qui fécondent l’activité du juge constitutionnel. Dans cette hypothèse, la</w:t>
      </w:r>
      <w:r w:rsidR="002543D6" w:rsidRPr="002B39CB">
        <w:rPr>
          <w:rFonts w:eastAsiaTheme="minorHAnsi"/>
          <w:lang w:val="fr-CM" w:eastAsia="en-US"/>
        </w:rPr>
        <w:t xml:space="preserve"> C</w:t>
      </w:r>
      <w:r w:rsidR="00C57297" w:rsidRPr="002B39CB">
        <w:rPr>
          <w:rFonts w:eastAsiaTheme="minorHAnsi"/>
          <w:lang w:val="fr-CM" w:eastAsia="en-US"/>
        </w:rPr>
        <w:t>onstitution n’est pas une plénitude à découvrir, mais très souvent un vide à combler.</w:t>
      </w:r>
      <w:r w:rsidR="00C57297" w:rsidRPr="002B39CB">
        <w:t xml:space="preserve"> Ceci est d’autant évident que </w:t>
      </w:r>
      <w:r w:rsidR="002543D6" w:rsidRPr="002B39CB">
        <w:t xml:space="preserve">la Constitution est de fois </w:t>
      </w:r>
      <w:r w:rsidR="00C57297" w:rsidRPr="002B39CB">
        <w:t>« </w:t>
      </w:r>
      <w:r w:rsidR="00567423" w:rsidRPr="002B39CB">
        <w:t>une toile inachevée</w:t>
      </w:r>
      <w:r w:rsidR="00C57297" w:rsidRPr="002B39CB">
        <w:t> »</w:t>
      </w:r>
      <w:r w:rsidR="00940070" w:rsidRPr="002B39CB">
        <w:rPr>
          <w:rStyle w:val="FootnoteReference"/>
        </w:rPr>
        <w:footnoteReference w:id="13"/>
      </w:r>
      <w:r w:rsidR="00765EB0">
        <w:t xml:space="preserve">, </w:t>
      </w:r>
      <w:r w:rsidR="00B31B4E" w:rsidRPr="002B39CB">
        <w:t xml:space="preserve">car, ainsi qu’il en est du droit constitutionnel, </w:t>
      </w:r>
      <w:r w:rsidR="00C57297" w:rsidRPr="002B39CB">
        <w:t>elle</w:t>
      </w:r>
      <w:r w:rsidR="00B31B4E" w:rsidRPr="002B39CB">
        <w:t xml:space="preserve"> ne peut entièrement être consignée d</w:t>
      </w:r>
      <w:r w:rsidR="002543D6" w:rsidRPr="002B39CB">
        <w:t xml:space="preserve">ans un écrit. La Constitution, </w:t>
      </w:r>
      <w:r w:rsidR="00B31B4E" w:rsidRPr="002B39CB">
        <w:t xml:space="preserve">c’est aussi </w:t>
      </w:r>
      <w:r w:rsidR="00B31B4E" w:rsidRPr="002B39CB">
        <w:rPr>
          <w:i/>
        </w:rPr>
        <w:t>l’esprit</w:t>
      </w:r>
      <w:r w:rsidR="00B31B4E" w:rsidRPr="002B39CB">
        <w:t xml:space="preserve"> qui ne peut </w:t>
      </w:r>
      <w:r w:rsidR="00C42721" w:rsidRPr="002B39CB">
        <w:t xml:space="preserve">être renfermé dans un texte ; </w:t>
      </w:r>
      <w:r w:rsidR="00B31B4E" w:rsidRPr="002B39CB">
        <w:t>le juge constitutionnel doit en découvrir l’esprit à chaque instant</w:t>
      </w:r>
      <w:r w:rsidR="00B31B4E" w:rsidRPr="002B39CB">
        <w:rPr>
          <w:rStyle w:val="FootnoteReference"/>
        </w:rPr>
        <w:footnoteReference w:id="14"/>
      </w:r>
      <w:r w:rsidR="00B31B4E" w:rsidRPr="002B39CB">
        <w:t>.</w:t>
      </w:r>
      <w:r w:rsidR="006C5EB4" w:rsidRPr="002B39CB">
        <w:t xml:space="preserve"> </w:t>
      </w:r>
      <w:r w:rsidR="006C0AEE">
        <w:t xml:space="preserve"> A</w:t>
      </w:r>
      <w:r w:rsidR="006C0AEE" w:rsidRPr="002B39CB">
        <w:t xml:space="preserve">utrement </w:t>
      </w:r>
      <w:r w:rsidR="002543D6" w:rsidRPr="002B39CB">
        <w:t>dit, l</w:t>
      </w:r>
      <w:r w:rsidR="00C57297" w:rsidRPr="002B39CB">
        <w:t>e juge constitutionnel</w:t>
      </w:r>
      <w:r w:rsidR="00991F21" w:rsidRPr="002B39CB">
        <w:t xml:space="preserve"> </w:t>
      </w:r>
      <w:r w:rsidR="00C57297" w:rsidRPr="002B39CB">
        <w:t xml:space="preserve">est </w:t>
      </w:r>
      <w:r w:rsidR="002543D6" w:rsidRPr="002B39CB">
        <w:t>‘</w:t>
      </w:r>
      <w:r w:rsidR="00991F21" w:rsidRPr="002B39CB">
        <w:t>un prisonnier affranchi</w:t>
      </w:r>
      <w:r w:rsidR="002543D6" w:rsidRPr="002B39CB">
        <w:t>’</w:t>
      </w:r>
      <w:r w:rsidR="00991F21" w:rsidRPr="002B39CB">
        <w:t xml:space="preserve"> qui, par sa mission, s’est élevé au-delà de la caverne en dépassant les apparences des dispositions de la Constitution pour atteindre son véritable sens.</w:t>
      </w:r>
    </w:p>
    <w:p w14:paraId="7AE7DA5C" w14:textId="2371B4B4" w:rsidR="00D10E57" w:rsidRPr="002B39CB" w:rsidRDefault="002819F9" w:rsidP="00996A7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0" w:firstLine="0"/>
        <w:jc w:val="both"/>
      </w:pPr>
      <w:r w:rsidRPr="002B39CB">
        <w:t>Da</w:t>
      </w:r>
      <w:r w:rsidR="002A454D">
        <w:t xml:space="preserve">ns sa fonction constituante, ce juge </w:t>
      </w:r>
      <w:r w:rsidR="00C42721" w:rsidRPr="002B39CB">
        <w:t xml:space="preserve">recourt, notamment, à </w:t>
      </w:r>
      <w:r w:rsidR="00CE5A19" w:rsidRPr="002B39CB">
        <w:t>des techniques de contrôle</w:t>
      </w:r>
      <w:r w:rsidR="00127B67">
        <w:t xml:space="preserve"> diversifiées</w:t>
      </w:r>
      <w:r w:rsidR="00CE5A19" w:rsidRPr="002B39CB">
        <w:t xml:space="preserve">, </w:t>
      </w:r>
      <w:r w:rsidRPr="002B39CB">
        <w:t xml:space="preserve">au nombre desquelles, </w:t>
      </w:r>
      <w:r w:rsidR="00CE5A19" w:rsidRPr="002B39CB">
        <w:t>les réserves d’interprétation</w:t>
      </w:r>
      <w:r w:rsidR="00C20E8C" w:rsidRPr="002B39CB">
        <w:t xml:space="preserve"> qu’applique, </w:t>
      </w:r>
      <w:r w:rsidR="00332D6C" w:rsidRPr="002B39CB">
        <w:t>entre autres</w:t>
      </w:r>
      <w:r w:rsidR="00551413" w:rsidRPr="002B39CB">
        <w:t xml:space="preserve">, </w:t>
      </w:r>
      <w:r w:rsidR="00C20E8C" w:rsidRPr="002B39CB">
        <w:t>la Cour cons</w:t>
      </w:r>
      <w:r w:rsidR="00681917">
        <w:t>titutionnelle de la République D</w:t>
      </w:r>
      <w:r w:rsidR="00C20E8C" w:rsidRPr="002B39CB">
        <w:t>émocratique du Congo</w:t>
      </w:r>
      <w:r w:rsidR="00551413" w:rsidRPr="002B39CB">
        <w:rPr>
          <w:rStyle w:val="FootnoteReference"/>
        </w:rPr>
        <w:footnoteReference w:id="15"/>
      </w:r>
      <w:r w:rsidR="00CE5A19" w:rsidRPr="002B39CB">
        <w:t xml:space="preserve">, la saisine d’office pratiquée </w:t>
      </w:r>
      <w:r w:rsidR="00C20E8C" w:rsidRPr="002B39CB">
        <w:t xml:space="preserve">par </w:t>
      </w:r>
      <w:r w:rsidR="00D64552">
        <w:t>les</w:t>
      </w:r>
      <w:r w:rsidR="00D64552" w:rsidRPr="002B39CB">
        <w:t xml:space="preserve"> juridictions</w:t>
      </w:r>
      <w:r w:rsidR="00D64552">
        <w:t xml:space="preserve"> constitutionnelles </w:t>
      </w:r>
      <w:r w:rsidR="00CE5A19" w:rsidRPr="002B39CB">
        <w:t>du Bénin</w:t>
      </w:r>
      <w:r w:rsidR="00CE5A19" w:rsidRPr="002B39CB">
        <w:rPr>
          <w:rStyle w:val="FootnoteReference"/>
        </w:rPr>
        <w:footnoteReference w:id="16"/>
      </w:r>
      <w:r w:rsidR="00681917">
        <w:t xml:space="preserve"> et de la Côte d’I</w:t>
      </w:r>
      <w:r w:rsidR="00CE5A19" w:rsidRPr="002B39CB">
        <w:t>voire</w:t>
      </w:r>
      <w:r w:rsidR="00CE5A19" w:rsidRPr="002B39CB">
        <w:rPr>
          <w:rStyle w:val="FootnoteReference"/>
        </w:rPr>
        <w:footnoteReference w:id="17"/>
      </w:r>
      <w:r w:rsidR="00E70243" w:rsidRPr="002B39CB">
        <w:t xml:space="preserve"> et l’auto-</w:t>
      </w:r>
      <w:r w:rsidR="00CE5A19" w:rsidRPr="002B39CB">
        <w:t xml:space="preserve">saisine qui est consacrée par le </w:t>
      </w:r>
      <w:r w:rsidR="00C20E8C" w:rsidRPr="002B39CB">
        <w:t xml:space="preserve">Conseil </w:t>
      </w:r>
      <w:r w:rsidR="00CE5A19" w:rsidRPr="002B39CB">
        <w:t>constitutionnel du Burkina Faso</w:t>
      </w:r>
      <w:r w:rsidR="00CE5A19" w:rsidRPr="002B39CB">
        <w:rPr>
          <w:rStyle w:val="FootnoteReference"/>
        </w:rPr>
        <w:footnoteReference w:id="18"/>
      </w:r>
      <w:r w:rsidR="00CE5A19" w:rsidRPr="002B39CB">
        <w:t xml:space="preserve">. L’on voit dans ces techniques prétoriennes, un exercice </w:t>
      </w:r>
      <w:r w:rsidR="00127B67">
        <w:t xml:space="preserve">par elles </w:t>
      </w:r>
      <w:r w:rsidR="00CE5A19" w:rsidRPr="002B39CB">
        <w:t xml:space="preserve">de la fonction constituante dans le but d’optimiser leur mission </w:t>
      </w:r>
      <w:r w:rsidR="00127B67">
        <w:t xml:space="preserve">traditionnelle </w:t>
      </w:r>
      <w:r w:rsidR="00CE5A19" w:rsidRPr="002B39CB">
        <w:t>et de la mener à bon port.</w:t>
      </w:r>
    </w:p>
    <w:p w14:paraId="0375E094" w14:textId="14730D8F" w:rsidR="00CE5A19" w:rsidRPr="002B39CB" w:rsidRDefault="002A454D" w:rsidP="00996A7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0" w:firstLine="0"/>
        <w:jc w:val="both"/>
      </w:pPr>
      <w:r>
        <w:t>De manière concrète</w:t>
      </w:r>
      <w:r w:rsidR="00CE5A19" w:rsidRPr="002B39CB">
        <w:t>, dans plusieurs systèmes constitutionnels africains,</w:t>
      </w:r>
      <w:r w:rsidR="003F56ED" w:rsidRPr="002B39CB">
        <w:t xml:space="preserve"> le juge constitutionnel a cessé de n’être que la bouche qui prononce les paroles de la Constitution. Il n’est plus, contrairement à ce qu’en pense Montesquieu</w:t>
      </w:r>
      <w:r w:rsidR="003F56ED" w:rsidRPr="002B39CB">
        <w:rPr>
          <w:rStyle w:val="FootnoteReference"/>
        </w:rPr>
        <w:footnoteReference w:id="19"/>
      </w:r>
      <w:r w:rsidR="003F56ED" w:rsidRPr="002B39CB">
        <w:t>, cet être inanimé qui n’en peut mo</w:t>
      </w:r>
      <w:r w:rsidR="00E70243" w:rsidRPr="002B39CB">
        <w:t>dérer ni la force ni la rigueur. L</w:t>
      </w:r>
      <w:r w:rsidR="00CE5A19" w:rsidRPr="002B39CB">
        <w:t>e juge constitutionnel ne se limite plus à un rôle de simple gardien ou de simple bou</w:t>
      </w:r>
      <w:r w:rsidR="00E70243" w:rsidRPr="002B39CB">
        <w:t>che de la loi constitutionnelle ; il</w:t>
      </w:r>
      <w:r w:rsidR="00CE5A19" w:rsidRPr="002B39CB">
        <w:t xml:space="preserve"> en </w:t>
      </w:r>
      <w:r w:rsidR="00E70243" w:rsidRPr="002B39CB">
        <w:t xml:space="preserve">est devenu </w:t>
      </w:r>
      <w:r w:rsidR="000D6608">
        <w:t xml:space="preserve">l’artisan. Il </w:t>
      </w:r>
      <w:r w:rsidR="00CE5A19" w:rsidRPr="002B39CB">
        <w:t>ne se contente plus d’appliquer la Constitution de manière mécanique</w:t>
      </w:r>
      <w:r w:rsidR="009C7BC3" w:rsidRPr="002B39CB">
        <w:t xml:space="preserve"> comme un interprète passif. Au</w:t>
      </w:r>
      <w:r w:rsidR="00F532B6">
        <w:t xml:space="preserve"> contraire, il la contextualise, </w:t>
      </w:r>
      <w:r w:rsidR="00CE5A19" w:rsidRPr="002B39CB">
        <w:t>la vitalise en sup</w:t>
      </w:r>
      <w:r w:rsidR="009C7BC3" w:rsidRPr="002B39CB">
        <w:t>pléant à l’œ</w:t>
      </w:r>
      <w:r w:rsidR="00A23276">
        <w:t xml:space="preserve">uvre du constituant </w:t>
      </w:r>
      <w:r w:rsidR="009C7BC3" w:rsidRPr="002B39CB">
        <w:t xml:space="preserve">en </w:t>
      </w:r>
      <w:r w:rsidR="00CE5A19" w:rsidRPr="002B39CB">
        <w:t>combl</w:t>
      </w:r>
      <w:r w:rsidR="009C7BC3" w:rsidRPr="002B39CB">
        <w:t xml:space="preserve">ant </w:t>
      </w:r>
      <w:r w:rsidR="008E3A28">
        <w:t xml:space="preserve">certaines des </w:t>
      </w:r>
      <w:r w:rsidR="00CE5A19" w:rsidRPr="002B39CB">
        <w:t>lacunes constitutionnelles</w:t>
      </w:r>
      <w:r w:rsidR="003F56ED" w:rsidRPr="002B39CB">
        <w:t>.</w:t>
      </w:r>
      <w:r w:rsidR="009C7BC3" w:rsidRPr="002B39CB">
        <w:t xml:space="preserve"> </w:t>
      </w:r>
      <w:r w:rsidR="002529FF" w:rsidRPr="002B39CB">
        <w:t xml:space="preserve">Cette tendance s’est </w:t>
      </w:r>
      <w:r w:rsidR="009C7BC3" w:rsidRPr="002B39CB">
        <w:t xml:space="preserve">particulièrement </w:t>
      </w:r>
      <w:r w:rsidR="002529FF" w:rsidRPr="002B39CB">
        <w:t>accentuée avec l’i</w:t>
      </w:r>
      <w:r w:rsidR="009C7BC3" w:rsidRPr="002B39CB">
        <w:t xml:space="preserve">mpératif de protéger les droits et libertés </w:t>
      </w:r>
      <w:r w:rsidR="002529FF" w:rsidRPr="002B39CB">
        <w:t>fondamentaux et d’assurer la régulation de l’activité des pouvoirs publics et le bon fonctionnement des institutions.</w:t>
      </w:r>
      <w:r w:rsidR="000D6608">
        <w:t xml:space="preserve"> Elle s’exprime</w:t>
      </w:r>
      <w:r w:rsidR="00173077">
        <w:t xml:space="preserve"> parfois aussi </w:t>
      </w:r>
      <w:r w:rsidR="000D6608">
        <w:t xml:space="preserve">à travers la technique de la modulation de ses déclarations d’inconstitutionnalité. </w:t>
      </w:r>
    </w:p>
    <w:p w14:paraId="48DF6B9F" w14:textId="48AC2FFD" w:rsidR="006E3303" w:rsidRPr="002B39CB" w:rsidRDefault="00CE5A19" w:rsidP="00996A7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0" w:firstLine="0"/>
        <w:jc w:val="both"/>
      </w:pPr>
      <w:r w:rsidRPr="002B39CB">
        <w:t xml:space="preserve">La fonction constituante </w:t>
      </w:r>
      <w:r w:rsidR="002B2BD0" w:rsidRPr="002B39CB">
        <w:t>du juge constitutionnel africain</w:t>
      </w:r>
      <w:r w:rsidR="00996A76" w:rsidRPr="002B39CB">
        <w:t xml:space="preserve"> </w:t>
      </w:r>
      <w:r w:rsidRPr="002B39CB">
        <w:t xml:space="preserve">est surtout mobilisée dans le cadre du contrôle de constitutionnalité des lois de révision constitutionnelle. Pendant </w:t>
      </w:r>
      <w:r w:rsidR="002B2BD0" w:rsidRPr="002B39CB">
        <w:t xml:space="preserve">très longtemps, certains Etats, dont le </w:t>
      </w:r>
      <w:r w:rsidRPr="002B39CB">
        <w:t>Sénégal, se sont souvent gardés de franchir les limites matérielles posées par la Constitution et se sont interdit de contrôler ce qu’ils ont considéré comme la volo</w:t>
      </w:r>
      <w:r w:rsidR="002B2BD0" w:rsidRPr="002B39CB">
        <w:t xml:space="preserve">nté du souverain. D’autres, </w:t>
      </w:r>
      <w:r w:rsidR="008E3A28">
        <w:t xml:space="preserve">en revanche, </w:t>
      </w:r>
      <w:r w:rsidR="002B2BD0" w:rsidRPr="002B39CB">
        <w:t>parmi lesquels l’Afrique du S</w:t>
      </w:r>
      <w:r w:rsidRPr="002B39CB">
        <w:t>ud</w:t>
      </w:r>
      <w:r w:rsidRPr="002B39CB">
        <w:rPr>
          <w:rStyle w:val="FootnoteReference"/>
        </w:rPr>
        <w:footnoteReference w:id="20"/>
      </w:r>
      <w:r w:rsidRPr="002B39CB">
        <w:t>, exercent leur office sur les lois constitutionnelles par habilitation constitutionnelle</w:t>
      </w:r>
      <w:r w:rsidR="00DC6EAC">
        <w:t xml:space="preserve"> ou législative</w:t>
      </w:r>
      <w:r w:rsidRPr="002B39CB">
        <w:t xml:space="preserve">, alors que </w:t>
      </w:r>
      <w:r w:rsidR="00127B67">
        <w:t>certains autres</w:t>
      </w:r>
      <w:r w:rsidR="00704CE1">
        <w:t>,</w:t>
      </w:r>
      <w:r w:rsidR="00536940">
        <w:t xml:space="preserve"> en l’occurrence </w:t>
      </w:r>
      <w:r w:rsidRPr="002B39CB">
        <w:t>le Benin</w:t>
      </w:r>
      <w:r w:rsidRPr="002B39CB">
        <w:rPr>
          <w:rStyle w:val="FootnoteReference"/>
        </w:rPr>
        <w:footnoteReference w:id="21"/>
      </w:r>
      <w:r w:rsidRPr="002B39CB">
        <w:t xml:space="preserve">, </w:t>
      </w:r>
      <w:r w:rsidR="00127B67">
        <w:t>l’exercent</w:t>
      </w:r>
      <w:r w:rsidRPr="002B39CB">
        <w:t xml:space="preserve"> par auto-habilitation ou habilitation jurisprudentielle. </w:t>
      </w:r>
    </w:p>
    <w:p w14:paraId="5C3533D4" w14:textId="00336BB4" w:rsidR="00CE5A19" w:rsidRPr="002B39CB" w:rsidRDefault="007B6788" w:rsidP="00996A7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0" w:firstLine="0"/>
        <w:jc w:val="both"/>
      </w:pPr>
      <w:r w:rsidRPr="002B39CB">
        <w:t xml:space="preserve">À </w:t>
      </w:r>
      <w:r w:rsidR="00CE5A19" w:rsidRPr="002B39CB">
        <w:t xml:space="preserve">l’ère du constitutionnalisme moderne, l’idée de la souveraineté absolue ou d’immunité du pouvoir constituant dérivé est de plus en </w:t>
      </w:r>
      <w:r w:rsidR="000F1098" w:rsidRPr="002B39CB">
        <w:t xml:space="preserve">plus </w:t>
      </w:r>
      <w:r w:rsidR="00CE5A19" w:rsidRPr="002B39CB">
        <w:t>remise en question. Le pouvoir de réviser la Constitution n’est pl</w:t>
      </w:r>
      <w:r w:rsidR="00F60429">
        <w:t>us exempt de contrôle juridictionnel</w:t>
      </w:r>
      <w:r w:rsidR="00CE5A19" w:rsidRPr="002B39CB">
        <w:t>, surtout lorsqu’il porte atteinte à des principes constitu</w:t>
      </w:r>
      <w:r w:rsidR="00F60429">
        <w:t xml:space="preserve">tionnels fondamentaux consacrés, </w:t>
      </w:r>
      <w:r w:rsidR="00CE5A19" w:rsidRPr="002B39CB">
        <w:t>pour l’essentie</w:t>
      </w:r>
      <w:r w:rsidR="00F60429">
        <w:t>l, dans d</w:t>
      </w:r>
      <w:r w:rsidR="00CE5A19" w:rsidRPr="002B39CB">
        <w:t>es dispositions intangibles</w:t>
      </w:r>
      <w:r w:rsidR="00CE5A19" w:rsidRPr="002B39CB">
        <w:rPr>
          <w:rStyle w:val="FootnoteReference"/>
        </w:rPr>
        <w:footnoteReference w:id="22"/>
      </w:r>
      <w:r w:rsidR="00CE5A19" w:rsidRPr="002B39CB">
        <w:t xml:space="preserve">. C’est dans </w:t>
      </w:r>
      <w:r w:rsidR="000F1098" w:rsidRPr="002B39CB">
        <w:t xml:space="preserve">cette </w:t>
      </w:r>
      <w:r w:rsidR="00AE35FD" w:rsidRPr="002B39CB">
        <w:t xml:space="preserve">optique, par exemple, </w:t>
      </w:r>
      <w:r w:rsidR="00CE5A19" w:rsidRPr="002B39CB">
        <w:t>que le ju</w:t>
      </w:r>
      <w:r w:rsidR="008E3A28">
        <w:t xml:space="preserve">ge constitutionnel sénégalais a, </w:t>
      </w:r>
      <w:r w:rsidR="008E3A28" w:rsidRPr="002B39CB">
        <w:t>dans sa décision n°1/C/2024 du 15 février 2024</w:t>
      </w:r>
      <w:r w:rsidR="008E3A28">
        <w:t xml:space="preserve">, </w:t>
      </w:r>
      <w:r w:rsidR="00CE5A19" w:rsidRPr="002B39CB">
        <w:t>opéré une révolution remarquable en contrôlant la conformité à la Constitut</w:t>
      </w:r>
      <w:r w:rsidR="008E3A28">
        <w:t>ion d’une loi constitutionnelle</w:t>
      </w:r>
      <w:r w:rsidR="007D6B1E">
        <w:rPr>
          <w:rStyle w:val="FootnoteReference"/>
        </w:rPr>
        <w:footnoteReference w:id="23"/>
      </w:r>
      <w:r w:rsidR="00CE5A19" w:rsidRPr="002B39CB">
        <w:t>.</w:t>
      </w:r>
    </w:p>
    <w:p w14:paraId="4386C1CD" w14:textId="4DAF347F" w:rsidR="00996A76" w:rsidRPr="002B39CB" w:rsidRDefault="00294D33" w:rsidP="004E4CD1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0" w:firstLine="0"/>
        <w:jc w:val="both"/>
      </w:pPr>
      <w:r w:rsidRPr="002B39CB">
        <w:t xml:space="preserve">Pourtant, la fonction constituante, </w:t>
      </w:r>
      <w:r w:rsidR="00A55BC0" w:rsidRPr="002B39CB">
        <w:t xml:space="preserve">entendue comme la compétence juridique d’élaborer, d’adopter ou de réviser la Constitution d’un Etat émane </w:t>
      </w:r>
      <w:r w:rsidRPr="002B39CB">
        <w:t xml:space="preserve">traditionnellement </w:t>
      </w:r>
      <w:r w:rsidR="00A55BC0" w:rsidRPr="002B39CB">
        <w:t xml:space="preserve">du souverain primaire. Le peuple </w:t>
      </w:r>
      <w:r w:rsidR="00F51F3E" w:rsidRPr="002B39CB">
        <w:t xml:space="preserve">l’exerce </w:t>
      </w:r>
      <w:r w:rsidR="00A55BC0" w:rsidRPr="002B39CB">
        <w:t>généralement par le référendum ou à traver</w:t>
      </w:r>
      <w:r w:rsidRPr="002B39CB">
        <w:t>s les assemblées constituantes.</w:t>
      </w:r>
      <w:r w:rsidR="00780214" w:rsidRPr="002B39CB">
        <w:t xml:space="preserve"> D’où</w:t>
      </w:r>
      <w:r w:rsidRPr="002B39CB">
        <w:t>, l’</w:t>
      </w:r>
      <w:r w:rsidR="00A55BC0" w:rsidRPr="002B39CB">
        <w:t>élan du dynamisme d</w:t>
      </w:r>
      <w:r w:rsidR="00780214" w:rsidRPr="002B39CB">
        <w:t xml:space="preserve">u juge constitutionnel africain, </w:t>
      </w:r>
      <w:r w:rsidR="00A55BC0" w:rsidRPr="002B39CB">
        <w:t>l’amenant à s’</w:t>
      </w:r>
      <w:r w:rsidRPr="002B39CB">
        <w:t xml:space="preserve">afficher </w:t>
      </w:r>
      <w:r w:rsidR="00A55BC0" w:rsidRPr="002B39CB">
        <w:t>sur le terrain de l’exercice de ce</w:t>
      </w:r>
      <w:r w:rsidR="00F51F3E" w:rsidRPr="002B39CB">
        <w:t xml:space="preserve">tte compétence </w:t>
      </w:r>
      <w:r w:rsidR="00A55BC0" w:rsidRPr="002B39CB">
        <w:t>classiquement réservé</w:t>
      </w:r>
      <w:r w:rsidR="00556027" w:rsidRPr="002B39CB">
        <w:t>e</w:t>
      </w:r>
      <w:r w:rsidR="00B125DA" w:rsidRPr="002B39CB">
        <w:t xml:space="preserve"> au peuple</w:t>
      </w:r>
      <w:r w:rsidR="00780214" w:rsidRPr="002B39CB">
        <w:t xml:space="preserve">, </w:t>
      </w:r>
      <w:r w:rsidR="00B125DA" w:rsidRPr="002B39CB">
        <w:t xml:space="preserve">parait </w:t>
      </w:r>
      <w:r w:rsidR="00A55BC0" w:rsidRPr="002B39CB">
        <w:t>à la fo</w:t>
      </w:r>
      <w:r w:rsidR="00AF7CEC" w:rsidRPr="002B39CB">
        <w:t>is provocateur et n</w:t>
      </w:r>
      <w:r w:rsidRPr="002B39CB">
        <w:t xml:space="preserve">on consensuel ; </w:t>
      </w:r>
      <w:r w:rsidR="00AF7CEC" w:rsidRPr="002B39CB">
        <w:t>il</w:t>
      </w:r>
      <w:r w:rsidR="00B125DA" w:rsidRPr="002B39CB">
        <w:t xml:space="preserve"> divise </w:t>
      </w:r>
      <w:r w:rsidR="00A55BC0" w:rsidRPr="002B39CB">
        <w:t>l’</w:t>
      </w:r>
      <w:r w:rsidR="00556027" w:rsidRPr="002B39CB">
        <w:t>opinion et les professionnels du</w:t>
      </w:r>
      <w:r w:rsidR="00A55BC0" w:rsidRPr="002B39CB">
        <w:t xml:space="preserve"> droit. </w:t>
      </w:r>
    </w:p>
    <w:p w14:paraId="1DEDDD85" w14:textId="5279971B" w:rsidR="00CE5A19" w:rsidRPr="002B39CB" w:rsidRDefault="00780214" w:rsidP="00996A7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0" w:firstLine="0"/>
        <w:jc w:val="both"/>
      </w:pPr>
      <w:r w:rsidRPr="002B39CB">
        <w:t xml:space="preserve">Le thème relatif à </w:t>
      </w:r>
      <w:r w:rsidR="00CE5A19" w:rsidRPr="002B39CB">
        <w:t>la fonction constituante d</w:t>
      </w:r>
      <w:r w:rsidRPr="002B39CB">
        <w:t xml:space="preserve">u juge constitutionnel africain </w:t>
      </w:r>
      <w:r w:rsidR="00BC4113">
        <w:t xml:space="preserve">appelle </w:t>
      </w:r>
      <w:r w:rsidR="00A97723">
        <w:t>donc</w:t>
      </w:r>
      <w:r w:rsidRPr="002B39CB">
        <w:t xml:space="preserve"> </w:t>
      </w:r>
      <w:r w:rsidR="00CE5A19" w:rsidRPr="002B39CB">
        <w:t xml:space="preserve">à une réflexion profonde sur l’évolution contemporaine du constitutionnalisme africain et sur le rôle créateur du juge constitutionnel dans l’interprétation et l’application de la Constitution. Il soulève des </w:t>
      </w:r>
      <w:r w:rsidR="007B0EC9" w:rsidRPr="002B39CB">
        <w:t>réflexions</w:t>
      </w:r>
      <w:r w:rsidR="00CE5A19" w:rsidRPr="002B39CB">
        <w:t xml:space="preserve">, notamment sur : </w:t>
      </w:r>
    </w:p>
    <w:p w14:paraId="4957FAE7" w14:textId="77777777" w:rsidR="00CE5A19" w:rsidRPr="002B39CB" w:rsidRDefault="00CE5A19" w:rsidP="00996A76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</w:pPr>
      <w:r w:rsidRPr="002B39CB">
        <w:t>La mise en œuvre d’une nouvelle vague du constitutionnalisme, centr</w:t>
      </w:r>
      <w:r w:rsidR="002631DE" w:rsidRPr="002B39CB">
        <w:t>ée sur le dynamisme et l’audace</w:t>
      </w:r>
      <w:r w:rsidRPr="002B39CB">
        <w:t xml:space="preserve"> du</w:t>
      </w:r>
      <w:r w:rsidR="004702FF" w:rsidRPr="002B39CB">
        <w:t xml:space="preserve"> juge constitutionnel africain ;</w:t>
      </w:r>
    </w:p>
    <w:p w14:paraId="4F41439D" w14:textId="7188AD28" w:rsidR="00CE5A19" w:rsidRPr="002B39CB" w:rsidRDefault="00CE5A19" w:rsidP="00996A76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</w:pPr>
      <w:r w:rsidRPr="002B39CB">
        <w:t>La place de la prudence dans l’office</w:t>
      </w:r>
      <w:r w:rsidR="00780214" w:rsidRPr="002B39CB">
        <w:t xml:space="preserve"> du juge constitutionnel à l’occasion de </w:t>
      </w:r>
      <w:r w:rsidRPr="002B39CB">
        <w:t xml:space="preserve">l’exercice de sa fonction constituante ; </w:t>
      </w:r>
    </w:p>
    <w:p w14:paraId="5B949DA7" w14:textId="77777777" w:rsidR="00780214" w:rsidRPr="002B39CB" w:rsidRDefault="00780214" w:rsidP="00780214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</w:pPr>
      <w:r w:rsidRPr="002B39CB">
        <w:t xml:space="preserve">Les domaines de manifestation de la fonction constituante du juge constitutionnel ; </w:t>
      </w:r>
    </w:p>
    <w:p w14:paraId="15CBB3C2" w14:textId="10C5599A" w:rsidR="00CE5A19" w:rsidRPr="002B39CB" w:rsidRDefault="00D64552" w:rsidP="00996A76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</w:pPr>
      <w:r>
        <w:t xml:space="preserve">Les limites de compétence </w:t>
      </w:r>
      <w:r w:rsidR="00CE5A19" w:rsidRPr="002B39CB">
        <w:t>du juge constitutionnel dans la mobilisation de sa fonction constituante</w:t>
      </w:r>
      <w:r w:rsidR="004E4CD1" w:rsidRPr="002B39CB">
        <w:t xml:space="preserve"> </w:t>
      </w:r>
      <w:r w:rsidR="00CE5A19" w:rsidRPr="002B39CB">
        <w:t xml:space="preserve">; </w:t>
      </w:r>
    </w:p>
    <w:p w14:paraId="38878BC3" w14:textId="77777777" w:rsidR="00CE5A19" w:rsidRPr="002B39CB" w:rsidRDefault="00CE5A19" w:rsidP="00996A76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</w:pPr>
      <w:r w:rsidRPr="002B39CB">
        <w:t xml:space="preserve">Les conséquences juridiques de l’exercice de cette fonction au sein des différents ordres juridiques. </w:t>
      </w:r>
    </w:p>
    <w:p w14:paraId="430997D3" w14:textId="3E183250" w:rsidR="00CE5A19" w:rsidRPr="002B39CB" w:rsidRDefault="00DE0FF4" w:rsidP="00996A76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0" w:firstLine="0"/>
        <w:jc w:val="both"/>
      </w:pPr>
      <w:r w:rsidRPr="002B39CB">
        <w:t>Ainsi, la Conférence des Juridictions Constitutionnelles Africaines</w:t>
      </w:r>
      <w:r w:rsidR="00037EF5">
        <w:t xml:space="preserve"> (CJCA)</w:t>
      </w:r>
      <w:r w:rsidRPr="002B39CB">
        <w:t xml:space="preserve"> invite-t-elle </w:t>
      </w:r>
      <w:r w:rsidR="00CE5A19" w:rsidRPr="002B39CB">
        <w:t>la communauté scientifique</w:t>
      </w:r>
      <w:r w:rsidR="00704CE1">
        <w:t xml:space="preserve"> et les professionnels du </w:t>
      </w:r>
      <w:r w:rsidR="00A44371">
        <w:t>d</w:t>
      </w:r>
      <w:r w:rsidR="00704CE1">
        <w:t>roit</w:t>
      </w:r>
      <w:r w:rsidR="00CE5A19" w:rsidRPr="002B39CB">
        <w:t xml:space="preserve">, à mener des réflexions sur </w:t>
      </w:r>
      <w:r w:rsidRPr="002B39CB">
        <w:t>l’</w:t>
      </w:r>
      <w:r w:rsidR="00CE5A19" w:rsidRPr="002B39CB">
        <w:t xml:space="preserve">une </w:t>
      </w:r>
      <w:r w:rsidRPr="002B39CB">
        <w:t xml:space="preserve">ou l’autre </w:t>
      </w:r>
      <w:r w:rsidR="0049332D">
        <w:t xml:space="preserve">des </w:t>
      </w:r>
      <w:r w:rsidR="00CE5A19" w:rsidRPr="002B39CB">
        <w:t>préoccupations majeures</w:t>
      </w:r>
      <w:r w:rsidR="0049332D">
        <w:t xml:space="preserve"> ci-dessus</w:t>
      </w:r>
      <w:r w:rsidR="00CE5A19" w:rsidRPr="002B39CB">
        <w:t xml:space="preserve">, en mettant l’accent sur le dialogue entre les juges constitutionnels africains, à propos de l’exercice de la fonction constituante. </w:t>
      </w:r>
    </w:p>
    <w:p w14:paraId="62124747" w14:textId="77777777" w:rsidR="00CE5A19" w:rsidRPr="00404886" w:rsidRDefault="00CE5A19" w:rsidP="00996A76">
      <w:pPr>
        <w:spacing w:before="160" w:after="240" w:line="360" w:lineRule="auto"/>
        <w:jc w:val="center"/>
        <w:rPr>
          <w:b/>
          <w:sz w:val="28"/>
          <w:szCs w:val="28"/>
        </w:rPr>
      </w:pPr>
      <w:r w:rsidRPr="00404886">
        <w:rPr>
          <w:b/>
          <w:sz w:val="28"/>
          <w:szCs w:val="28"/>
        </w:rPr>
        <w:t>Sous-thèmes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2"/>
        <w:gridCol w:w="8214"/>
      </w:tblGrid>
      <w:tr w:rsidR="00CE5A19" w:rsidRPr="00D9508E" w14:paraId="573EC929" w14:textId="77777777" w:rsidTr="00A55BC0">
        <w:trPr>
          <w:jc w:val="center"/>
        </w:trPr>
        <w:tc>
          <w:tcPr>
            <w:tcW w:w="9776" w:type="dxa"/>
            <w:gridSpan w:val="2"/>
            <w:vAlign w:val="center"/>
          </w:tcPr>
          <w:p w14:paraId="72454F86" w14:textId="77777777" w:rsidR="00CE5A19" w:rsidRPr="00D9508E" w:rsidRDefault="00CE5A19" w:rsidP="00996A76">
            <w:pPr>
              <w:spacing w:before="100" w:after="100" w:line="360" w:lineRule="auto"/>
              <w:ind w:left="315" w:right="176"/>
              <w:jc w:val="center"/>
              <w:rPr>
                <w:rFonts w:ascii="Arial Narrow" w:hAnsi="Arial Narrow" w:cs="Arial Narrow"/>
                <w:u w:val="single"/>
              </w:rPr>
            </w:pPr>
            <w:r w:rsidRPr="00D9508E">
              <w:rPr>
                <w:rFonts w:ascii="Arial Narrow" w:hAnsi="Arial Narrow" w:cs="Arial Narrow"/>
                <w:b/>
                <w:u w:val="single"/>
              </w:rPr>
              <w:t>PREMIERE SESSION</w:t>
            </w:r>
          </w:p>
          <w:p w14:paraId="31063C29" w14:textId="2C0AA5FA" w:rsidR="00CE5A19" w:rsidRPr="0025793C" w:rsidRDefault="00CE5A19" w:rsidP="0025793C">
            <w:pPr>
              <w:spacing w:before="100" w:after="100" w:line="360" w:lineRule="auto"/>
              <w:ind w:left="315" w:right="176"/>
              <w:jc w:val="center"/>
              <w:rPr>
                <w:rFonts w:ascii="Arial Narrow" w:hAnsi="Arial Narrow" w:cs="Arial Narrow"/>
                <w:b/>
                <w:color w:val="FFFFFF"/>
              </w:rPr>
            </w:pPr>
            <w:r w:rsidRPr="00D9508E">
              <w:rPr>
                <w:rFonts w:ascii="Arial Narrow" w:hAnsi="Arial Narrow" w:cs="Arial Narrow"/>
                <w:b/>
                <w:bCs/>
                <w:color w:val="FFFFFF"/>
                <w:highlight w:val="black"/>
              </w:rPr>
              <w:t>PROPOS INTRODUCTIFS</w:t>
            </w:r>
            <w:r w:rsidR="0025793C">
              <w:rPr>
                <w:rFonts w:ascii="Arial Narrow" w:hAnsi="Arial Narrow" w:cs="Arial Narrow"/>
                <w:b/>
                <w:color w:val="FFFFFF"/>
              </w:rPr>
              <w:t xml:space="preserve"> </w:t>
            </w:r>
          </w:p>
        </w:tc>
      </w:tr>
      <w:tr w:rsidR="00CE5A19" w:rsidRPr="00D9508E" w14:paraId="3C7B7D04" w14:textId="77777777" w:rsidTr="00A55BC0">
        <w:trPr>
          <w:jc w:val="center"/>
        </w:trPr>
        <w:tc>
          <w:tcPr>
            <w:tcW w:w="1562" w:type="dxa"/>
            <w:vAlign w:val="center"/>
          </w:tcPr>
          <w:p w14:paraId="1EB802B0" w14:textId="77777777" w:rsidR="00CE5A19" w:rsidRPr="00D9508E" w:rsidRDefault="00CE5A19" w:rsidP="00996A76">
            <w:pPr>
              <w:tabs>
                <w:tab w:val="left" w:pos="1306"/>
              </w:tabs>
              <w:spacing w:before="100" w:after="100" w:line="360" w:lineRule="auto"/>
              <w:ind w:left="29" w:right="35"/>
              <w:jc w:val="center"/>
              <w:rPr>
                <w:rFonts w:ascii="Arial Narrow" w:hAnsi="Arial Narrow" w:cs="Arial Narrow"/>
                <w:u w:val="single"/>
              </w:rPr>
            </w:pPr>
          </w:p>
        </w:tc>
        <w:tc>
          <w:tcPr>
            <w:tcW w:w="8214" w:type="dxa"/>
            <w:vAlign w:val="center"/>
          </w:tcPr>
          <w:p w14:paraId="144BD6C8" w14:textId="77777777" w:rsidR="00CE5A19" w:rsidRPr="00D9508E" w:rsidRDefault="00CE5A19" w:rsidP="00996A76">
            <w:pPr>
              <w:spacing w:before="100" w:after="100" w:line="360" w:lineRule="auto"/>
              <w:ind w:right="176"/>
              <w:rPr>
                <w:rFonts w:ascii="Arial Narrow" w:hAnsi="Arial Narrow" w:cs="Arial Narrow"/>
              </w:rPr>
            </w:pPr>
            <w:r w:rsidRPr="00D9508E">
              <w:rPr>
                <w:rFonts w:ascii="Arial Narrow" w:hAnsi="Arial Narrow" w:cs="Arial Narrow"/>
              </w:rPr>
              <w:t xml:space="preserve">Présentation des objectifs du colloque </w:t>
            </w:r>
          </w:p>
        </w:tc>
      </w:tr>
      <w:tr w:rsidR="00CE5A19" w:rsidRPr="00D9508E" w14:paraId="3E332C7D" w14:textId="77777777" w:rsidTr="00A55BC0">
        <w:trPr>
          <w:trHeight w:val="740"/>
          <w:jc w:val="center"/>
        </w:trPr>
        <w:tc>
          <w:tcPr>
            <w:tcW w:w="1562" w:type="dxa"/>
            <w:vAlign w:val="center"/>
          </w:tcPr>
          <w:p w14:paraId="6877CB6E" w14:textId="77777777" w:rsidR="00CE5A19" w:rsidRPr="00D9508E" w:rsidRDefault="00CE5A19" w:rsidP="00996A76">
            <w:pPr>
              <w:tabs>
                <w:tab w:val="left" w:pos="1306"/>
              </w:tabs>
              <w:spacing w:before="100" w:after="100" w:line="360" w:lineRule="auto"/>
              <w:ind w:right="176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214" w:type="dxa"/>
            <w:vAlign w:val="center"/>
          </w:tcPr>
          <w:p w14:paraId="56C43804" w14:textId="77777777" w:rsidR="00CE5A19" w:rsidRPr="00D9508E" w:rsidRDefault="00CE5A19" w:rsidP="00996A76">
            <w:pPr>
              <w:autoSpaceDE w:val="0"/>
              <w:autoSpaceDN w:val="0"/>
              <w:adjustRightInd w:val="0"/>
              <w:spacing w:before="100" w:after="100" w:line="360" w:lineRule="auto"/>
              <w:ind w:right="-398"/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 w:rsidRPr="00D9508E">
              <w:rPr>
                <w:rFonts w:ascii="Arial Narrow" w:eastAsiaTheme="minorHAnsi" w:hAnsi="Arial Narrow" w:cs="Arial Narrow"/>
                <w:lang w:eastAsia="en-US"/>
              </w:rPr>
              <w:t xml:space="preserve">Communications inaugurales sur : </w:t>
            </w:r>
          </w:p>
          <w:p w14:paraId="40A5D15D" w14:textId="77777777" w:rsidR="00CE5A19" w:rsidRPr="00D9508E" w:rsidRDefault="00CE5A19" w:rsidP="00996A7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100" w:line="360" w:lineRule="auto"/>
              <w:ind w:right="-398"/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 w:rsidRPr="00D9508E">
              <w:rPr>
                <w:rFonts w:ascii="Arial Narrow" w:eastAsiaTheme="minorHAnsi" w:hAnsi="Arial Narrow" w:cs="Arial Narrow"/>
                <w:lang w:eastAsia="en-US"/>
              </w:rPr>
              <w:t>-</w:t>
            </w:r>
            <w:r w:rsidRPr="00D9508E">
              <w:rPr>
                <w:rFonts w:ascii="Arial Narrow" w:eastAsiaTheme="minorHAnsi" w:hAnsi="Arial Narrow" w:cs="Arial Narrow"/>
                <w:lang w:eastAsia="en-US"/>
              </w:rPr>
              <w:tab/>
            </w:r>
          </w:p>
          <w:p w14:paraId="07540AE8" w14:textId="5A46E04E" w:rsidR="00CE5A19" w:rsidRPr="0025793C" w:rsidRDefault="00CE5A19" w:rsidP="0025793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100" w:line="360" w:lineRule="auto"/>
              <w:ind w:right="-398"/>
              <w:jc w:val="both"/>
              <w:rPr>
                <w:rFonts w:ascii="Arial Narrow" w:eastAsiaTheme="minorHAnsi" w:hAnsi="Arial Narrow" w:cs="Arial Narrow"/>
                <w:b/>
                <w:bCs/>
                <w:lang w:eastAsia="en-US"/>
              </w:rPr>
            </w:pPr>
            <w:r w:rsidRPr="00D9508E">
              <w:rPr>
                <w:rFonts w:ascii="Arial Narrow" w:eastAsiaTheme="minorHAnsi" w:hAnsi="Arial Narrow" w:cs="Arial Narrow"/>
                <w:lang w:eastAsia="en-US"/>
              </w:rPr>
              <w:t>-</w:t>
            </w:r>
            <w:r w:rsidRPr="00D9508E">
              <w:rPr>
                <w:rFonts w:ascii="Arial Narrow" w:eastAsiaTheme="minorHAnsi" w:hAnsi="Arial Narrow" w:cs="Arial Narrow"/>
                <w:lang w:eastAsia="en-US"/>
              </w:rPr>
              <w:tab/>
            </w:r>
          </w:p>
        </w:tc>
      </w:tr>
      <w:tr w:rsidR="00CE5A19" w:rsidRPr="00D9508E" w14:paraId="39BBB655" w14:textId="77777777" w:rsidTr="00A55BC0">
        <w:trPr>
          <w:jc w:val="center"/>
        </w:trPr>
        <w:tc>
          <w:tcPr>
            <w:tcW w:w="9776" w:type="dxa"/>
            <w:gridSpan w:val="2"/>
            <w:vAlign w:val="center"/>
          </w:tcPr>
          <w:p w14:paraId="4C3E98D1" w14:textId="77777777" w:rsidR="00CE5A19" w:rsidRPr="00037EF5" w:rsidRDefault="00CE5A19" w:rsidP="00996A76">
            <w:pPr>
              <w:spacing w:before="100" w:after="100" w:line="360" w:lineRule="auto"/>
              <w:ind w:left="315" w:right="176"/>
              <w:jc w:val="center"/>
              <w:rPr>
                <w:rFonts w:ascii="Arial Narrow" w:hAnsi="Arial Narrow" w:cs="Arial Narrow"/>
                <w:b/>
                <w:u w:val="single"/>
              </w:rPr>
            </w:pPr>
            <w:r w:rsidRPr="00037EF5">
              <w:rPr>
                <w:rFonts w:ascii="Arial Narrow" w:hAnsi="Arial Narrow" w:cs="Arial Narrow"/>
                <w:b/>
                <w:u w:val="single"/>
              </w:rPr>
              <w:t>DEUXIEME SESSION</w:t>
            </w:r>
          </w:p>
          <w:p w14:paraId="187968DD" w14:textId="44A6454A" w:rsidR="00CE5A19" w:rsidRPr="00D9508E" w:rsidRDefault="00CE5A19" w:rsidP="00996A76">
            <w:pPr>
              <w:spacing w:before="100" w:after="100" w:line="360" w:lineRule="auto"/>
              <w:jc w:val="center"/>
              <w:rPr>
                <w:rFonts w:ascii="Arial Narrow" w:hAnsi="Arial Narrow" w:cs="Arial Narrow"/>
                <w:b/>
                <w:color w:val="FFFFFF"/>
                <w:u w:val="single"/>
              </w:rPr>
            </w:pPr>
            <w:r w:rsidRPr="00D9508E">
              <w:rPr>
                <w:rFonts w:ascii="Arial Narrow" w:hAnsi="Arial Narrow" w:cs="Arial Narrow"/>
                <w:b/>
                <w:bCs/>
                <w:color w:val="FFFFFF"/>
                <w:highlight w:val="black"/>
              </w:rPr>
              <w:t>LES DOMAINES DE MANIFESTATION  DE LA FONCTION CONSTITUANTE</w:t>
            </w:r>
            <w:r w:rsidRPr="00D9508E">
              <w:rPr>
                <w:rFonts w:ascii="Arial Narrow" w:hAnsi="Arial Narrow" w:cs="Arial Narrow"/>
                <w:b/>
                <w:bCs/>
                <w:color w:val="FFFFFF"/>
              </w:rPr>
              <w:t>L</w:t>
            </w:r>
            <w:r w:rsidRPr="00D9508E">
              <w:rPr>
                <w:rFonts w:ascii="Arial Narrow" w:hAnsi="Arial Narrow" w:cs="Arial Narrow"/>
                <w:b/>
                <w:color w:val="FFFFFF"/>
                <w:u w:val="single"/>
              </w:rPr>
              <w:t xml:space="preserve"> </w:t>
            </w:r>
          </w:p>
          <w:p w14:paraId="04B89F16" w14:textId="77777777" w:rsidR="00CE5A19" w:rsidRPr="00D9508E" w:rsidRDefault="00CE5A19" w:rsidP="00996A76">
            <w:pPr>
              <w:spacing w:before="100" w:after="100" w:line="360" w:lineRule="auto"/>
              <w:rPr>
                <w:rFonts w:ascii="Arial Narrow" w:hAnsi="Arial Narrow" w:cs="Arial Narrow"/>
              </w:rPr>
            </w:pPr>
          </w:p>
        </w:tc>
      </w:tr>
      <w:tr w:rsidR="00CE5A19" w:rsidRPr="00D9508E" w14:paraId="13F686E9" w14:textId="77777777" w:rsidTr="00A55BC0">
        <w:trPr>
          <w:jc w:val="center"/>
        </w:trPr>
        <w:tc>
          <w:tcPr>
            <w:tcW w:w="1562" w:type="dxa"/>
          </w:tcPr>
          <w:p w14:paraId="714E9C37" w14:textId="77777777" w:rsidR="00CE5A19" w:rsidRPr="00D9508E" w:rsidRDefault="00CE5A19" w:rsidP="00996A76">
            <w:pPr>
              <w:spacing w:before="100" w:after="100" w:line="360" w:lineRule="auto"/>
              <w:jc w:val="center"/>
              <w:rPr>
                <w:rFonts w:ascii="Arial Narrow" w:hAnsi="Arial Narrow" w:cs="Arial Narrow"/>
              </w:rPr>
            </w:pPr>
          </w:p>
          <w:p w14:paraId="6FCBD2CD" w14:textId="77777777" w:rsidR="00CE5A19" w:rsidRPr="00D9508E" w:rsidRDefault="00CE5A19" w:rsidP="00996A76">
            <w:pPr>
              <w:spacing w:before="100" w:after="100"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214" w:type="dxa"/>
            <w:vAlign w:val="center"/>
          </w:tcPr>
          <w:p w14:paraId="7963072B" w14:textId="733FBDBB" w:rsidR="00CE5A19" w:rsidRPr="00D9508E" w:rsidRDefault="0025793C" w:rsidP="00996A76">
            <w:pPr>
              <w:autoSpaceDE w:val="0"/>
              <w:autoSpaceDN w:val="0"/>
              <w:adjustRightInd w:val="0"/>
              <w:spacing w:line="360" w:lineRule="auto"/>
              <w:ind w:right="-574"/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>
              <w:rPr>
                <w:rFonts w:ascii="Arial Narrow" w:eastAsiaTheme="minorHAnsi" w:hAnsi="Arial Narrow" w:cs="Arial Narrow"/>
                <w:lang w:eastAsia="en-US"/>
              </w:rPr>
              <w:t>C</w:t>
            </w:r>
            <w:r w:rsidR="00D8201C">
              <w:rPr>
                <w:rFonts w:ascii="Arial Narrow" w:eastAsiaTheme="minorHAnsi" w:hAnsi="Arial Narrow" w:cs="Arial Narrow"/>
                <w:lang w:eastAsia="en-US"/>
              </w:rPr>
              <w:t xml:space="preserve">ommunication </w:t>
            </w:r>
            <w:r w:rsidR="00CE5A19" w:rsidRPr="00D9508E">
              <w:rPr>
                <w:rFonts w:ascii="Arial Narrow" w:eastAsiaTheme="minorHAnsi" w:hAnsi="Arial Narrow" w:cs="Arial Narrow"/>
                <w:lang w:eastAsia="en-US"/>
              </w:rPr>
              <w:t>1 : </w:t>
            </w:r>
          </w:p>
          <w:p w14:paraId="6716F0D5" w14:textId="77777777" w:rsidR="00CE5A19" w:rsidRPr="00D9508E" w:rsidRDefault="00CE5A19" w:rsidP="00996A76">
            <w:pPr>
              <w:autoSpaceDE w:val="0"/>
              <w:autoSpaceDN w:val="0"/>
              <w:adjustRightInd w:val="0"/>
              <w:spacing w:line="360" w:lineRule="auto"/>
              <w:ind w:right="-574"/>
              <w:jc w:val="both"/>
              <w:rPr>
                <w:rFonts w:ascii="Arial Narrow" w:eastAsiaTheme="minorHAnsi" w:hAnsi="Arial Narrow" w:cs="Arial Narrow"/>
                <w:b/>
                <w:bCs/>
                <w:i/>
                <w:iCs/>
                <w:u w:val="single"/>
                <w:lang w:eastAsia="en-US"/>
              </w:rPr>
            </w:pPr>
          </w:p>
          <w:p w14:paraId="76221117" w14:textId="1BD4B2DF" w:rsidR="00CE5A19" w:rsidRPr="00D9508E" w:rsidRDefault="0025793C" w:rsidP="00996A76">
            <w:pPr>
              <w:spacing w:line="360" w:lineRule="auto"/>
              <w:jc w:val="both"/>
              <w:rPr>
                <w:rFonts w:ascii="Arial Narrow" w:hAnsi="Arial Narrow" w:cs="Arial Narrow"/>
                <w:b/>
                <w:bCs/>
                <w:i/>
                <w:iCs/>
                <w:u w:val="single"/>
              </w:rPr>
            </w:pPr>
            <w:r>
              <w:rPr>
                <w:rFonts w:ascii="Arial Narrow" w:eastAsiaTheme="minorHAnsi" w:hAnsi="Arial Narrow" w:cs="Arial Narrow"/>
                <w:lang w:eastAsia="en-US"/>
              </w:rPr>
              <w:t>C</w:t>
            </w:r>
            <w:r w:rsidR="00D8201C">
              <w:rPr>
                <w:rFonts w:ascii="Arial Narrow" w:eastAsiaTheme="minorHAnsi" w:hAnsi="Arial Narrow" w:cs="Arial Narrow"/>
                <w:lang w:eastAsia="en-US"/>
              </w:rPr>
              <w:t>ommunication</w:t>
            </w:r>
            <w:r w:rsidR="00CE5A19" w:rsidRPr="00D9508E">
              <w:rPr>
                <w:rFonts w:ascii="Arial Narrow" w:eastAsiaTheme="minorHAnsi" w:hAnsi="Arial Narrow" w:cs="Arial Narrow"/>
                <w:lang w:eastAsia="en-US"/>
              </w:rPr>
              <w:t xml:space="preserve"> 2 : </w:t>
            </w:r>
            <w:r w:rsidR="00CE5A19" w:rsidRPr="00D9508E">
              <w:rPr>
                <w:rFonts w:ascii="Arial Narrow" w:eastAsiaTheme="minorHAnsi" w:hAnsi="Arial Narrow" w:cs="Arial Narrow"/>
                <w:b/>
                <w:bCs/>
                <w:i/>
                <w:iCs/>
                <w:lang w:eastAsia="en-US"/>
              </w:rPr>
              <w:t xml:space="preserve">  </w:t>
            </w:r>
          </w:p>
        </w:tc>
      </w:tr>
      <w:tr w:rsidR="00CE5A19" w:rsidRPr="00D9508E" w14:paraId="4A28B331" w14:textId="77777777" w:rsidTr="00A55BC0">
        <w:trPr>
          <w:trHeight w:val="686"/>
          <w:jc w:val="center"/>
        </w:trPr>
        <w:tc>
          <w:tcPr>
            <w:tcW w:w="9776" w:type="dxa"/>
            <w:gridSpan w:val="2"/>
            <w:vAlign w:val="center"/>
          </w:tcPr>
          <w:p w14:paraId="73A24D51" w14:textId="77777777" w:rsidR="00CE5A19" w:rsidRPr="00037EF5" w:rsidRDefault="00CE5A19" w:rsidP="00996A76">
            <w:pPr>
              <w:spacing w:before="100" w:after="100" w:line="360" w:lineRule="auto"/>
              <w:ind w:left="315" w:right="176"/>
              <w:jc w:val="center"/>
              <w:rPr>
                <w:rFonts w:ascii="Arial Narrow" w:hAnsi="Arial Narrow" w:cs="Arial Narrow"/>
                <w:u w:val="single"/>
              </w:rPr>
            </w:pPr>
            <w:r w:rsidRPr="00037EF5">
              <w:rPr>
                <w:rFonts w:ascii="Arial Narrow" w:hAnsi="Arial Narrow" w:cs="Arial Narrow"/>
                <w:b/>
                <w:u w:val="single"/>
              </w:rPr>
              <w:t>TROISIEME SESSION</w:t>
            </w:r>
          </w:p>
          <w:p w14:paraId="347D10DE" w14:textId="77777777" w:rsidR="00CE5A19" w:rsidRPr="00D9508E" w:rsidRDefault="00CE5A19" w:rsidP="00996A76">
            <w:pPr>
              <w:spacing w:before="100" w:after="100" w:line="360" w:lineRule="auto"/>
              <w:ind w:right="176"/>
              <w:jc w:val="center"/>
              <w:rPr>
                <w:rFonts w:ascii="Arial Narrow" w:hAnsi="Arial Narrow" w:cs="Arial Narrow"/>
                <w:b/>
                <w:bCs/>
                <w:color w:val="FFFFFF"/>
              </w:rPr>
            </w:pPr>
            <w:r w:rsidRPr="00D9508E">
              <w:rPr>
                <w:rFonts w:ascii="Arial Narrow" w:hAnsi="Arial Narrow" w:cs="Arial Narrow"/>
                <w:b/>
                <w:bCs/>
                <w:color w:val="FFFFFF"/>
                <w:highlight w:val="black"/>
              </w:rPr>
              <w:t>LES IMPLICATIONS  JURIDIQUES DE L’EXERCICE DE LA  FONCTION CONSTITUANTE </w:t>
            </w:r>
          </w:p>
          <w:p w14:paraId="3CFCD29D" w14:textId="77777777" w:rsidR="00CE5A19" w:rsidRPr="00D9508E" w:rsidRDefault="00CE5A19" w:rsidP="00996A76">
            <w:pPr>
              <w:spacing w:before="100" w:after="100" w:line="360" w:lineRule="auto"/>
              <w:ind w:right="176"/>
              <w:rPr>
                <w:rFonts w:ascii="Arial Narrow" w:hAnsi="Arial Narrow" w:cs="Arial Narrow"/>
              </w:rPr>
            </w:pPr>
          </w:p>
        </w:tc>
      </w:tr>
      <w:tr w:rsidR="00CE5A19" w:rsidRPr="00D9508E" w14:paraId="4B15A8FF" w14:textId="77777777" w:rsidTr="00A55BC0">
        <w:trPr>
          <w:trHeight w:val="695"/>
          <w:jc w:val="center"/>
        </w:trPr>
        <w:tc>
          <w:tcPr>
            <w:tcW w:w="1562" w:type="dxa"/>
            <w:vAlign w:val="center"/>
          </w:tcPr>
          <w:p w14:paraId="166F36B2" w14:textId="77777777" w:rsidR="00CE5A19" w:rsidRPr="00D9508E" w:rsidRDefault="00CE5A19" w:rsidP="00996A76">
            <w:pPr>
              <w:spacing w:before="100" w:after="100"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214" w:type="dxa"/>
            <w:vAlign w:val="center"/>
          </w:tcPr>
          <w:p w14:paraId="4392009D" w14:textId="02EC3304" w:rsidR="00CE5A19" w:rsidRPr="00D9508E" w:rsidRDefault="0025793C" w:rsidP="00996A76">
            <w:pPr>
              <w:autoSpaceDE w:val="0"/>
              <w:autoSpaceDN w:val="0"/>
              <w:adjustRightInd w:val="0"/>
              <w:spacing w:line="360" w:lineRule="auto"/>
              <w:ind w:right="-574"/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>
              <w:rPr>
                <w:rFonts w:ascii="Arial Narrow" w:eastAsiaTheme="minorHAnsi" w:hAnsi="Arial Narrow" w:cs="Arial Narrow"/>
                <w:lang w:eastAsia="en-US"/>
              </w:rPr>
              <w:t>C</w:t>
            </w:r>
            <w:r w:rsidR="00CE5A19" w:rsidRPr="00D9508E">
              <w:rPr>
                <w:rFonts w:ascii="Arial Narrow" w:eastAsiaTheme="minorHAnsi" w:hAnsi="Arial Narrow" w:cs="Arial Narrow"/>
                <w:lang w:eastAsia="en-US"/>
              </w:rPr>
              <w:t>ommunication 1 : </w:t>
            </w:r>
          </w:p>
          <w:p w14:paraId="532E587B" w14:textId="77777777" w:rsidR="00CE5A19" w:rsidRPr="00D9508E" w:rsidRDefault="00CE5A19" w:rsidP="00996A76">
            <w:pPr>
              <w:autoSpaceDE w:val="0"/>
              <w:autoSpaceDN w:val="0"/>
              <w:adjustRightInd w:val="0"/>
              <w:spacing w:line="360" w:lineRule="auto"/>
              <w:ind w:right="-574"/>
              <w:jc w:val="both"/>
              <w:rPr>
                <w:rFonts w:ascii="Arial Narrow" w:eastAsiaTheme="minorHAnsi" w:hAnsi="Arial Narrow" w:cs="Arial Narrow"/>
                <w:b/>
                <w:bCs/>
                <w:i/>
                <w:iCs/>
                <w:u w:val="single"/>
                <w:lang w:eastAsia="en-US"/>
              </w:rPr>
            </w:pPr>
          </w:p>
          <w:p w14:paraId="34055188" w14:textId="23F4D14A" w:rsidR="00CE5A19" w:rsidRPr="00D9508E" w:rsidRDefault="0025793C" w:rsidP="00996A76">
            <w:pPr>
              <w:spacing w:before="100" w:after="100" w:line="360" w:lineRule="auto"/>
              <w:jc w:val="both"/>
              <w:rPr>
                <w:rFonts w:ascii="Arial Narrow" w:hAnsi="Arial Narrow" w:cs="Garamond"/>
                <w:b/>
                <w:i/>
              </w:rPr>
            </w:pPr>
            <w:r>
              <w:rPr>
                <w:rFonts w:ascii="Arial Narrow" w:eastAsiaTheme="minorHAnsi" w:hAnsi="Arial Narrow" w:cs="Arial Narrow"/>
                <w:lang w:eastAsia="en-US"/>
              </w:rPr>
              <w:t>C</w:t>
            </w:r>
            <w:r w:rsidR="00CE5A19" w:rsidRPr="00D9508E">
              <w:rPr>
                <w:rFonts w:ascii="Arial Narrow" w:eastAsiaTheme="minorHAnsi" w:hAnsi="Arial Narrow" w:cs="Arial Narrow"/>
                <w:lang w:eastAsia="en-US"/>
              </w:rPr>
              <w:t>ommunication 2 : </w:t>
            </w:r>
          </w:p>
        </w:tc>
      </w:tr>
      <w:tr w:rsidR="00CE5A19" w:rsidRPr="00D9508E" w14:paraId="755C6CD2" w14:textId="77777777" w:rsidTr="00A55BC0">
        <w:trPr>
          <w:trHeight w:val="686"/>
          <w:jc w:val="center"/>
        </w:trPr>
        <w:tc>
          <w:tcPr>
            <w:tcW w:w="9776" w:type="dxa"/>
            <w:gridSpan w:val="2"/>
            <w:vAlign w:val="center"/>
          </w:tcPr>
          <w:p w14:paraId="4BF20D01" w14:textId="77777777" w:rsidR="006E33F6" w:rsidRDefault="006E33F6" w:rsidP="00996A76">
            <w:pPr>
              <w:spacing w:before="100" w:after="100" w:line="360" w:lineRule="auto"/>
              <w:ind w:left="315" w:right="176"/>
              <w:jc w:val="center"/>
              <w:rPr>
                <w:rFonts w:ascii="Arial Narrow" w:hAnsi="Arial Narrow" w:cs="Arial Narrow"/>
                <w:b/>
                <w:u w:val="single"/>
              </w:rPr>
            </w:pPr>
          </w:p>
          <w:p w14:paraId="19010945" w14:textId="006DA186" w:rsidR="00CE5A19" w:rsidRPr="00D9508E" w:rsidRDefault="00CE5A19" w:rsidP="006E33F6">
            <w:pPr>
              <w:spacing w:before="100" w:after="100" w:line="360" w:lineRule="auto"/>
              <w:ind w:right="176"/>
              <w:jc w:val="center"/>
              <w:rPr>
                <w:rFonts w:ascii="Arial Narrow" w:hAnsi="Arial Narrow" w:cs="Arial Narrow"/>
                <w:u w:val="single"/>
              </w:rPr>
            </w:pPr>
            <w:r w:rsidRPr="00037EF5">
              <w:rPr>
                <w:rFonts w:ascii="Arial Narrow" w:hAnsi="Arial Narrow" w:cs="Arial Narrow"/>
                <w:b/>
                <w:u w:val="single"/>
              </w:rPr>
              <w:t>QUATRIEME SESSION</w:t>
            </w:r>
          </w:p>
          <w:p w14:paraId="57CD4C3F" w14:textId="77777777" w:rsidR="00CE5A19" w:rsidRPr="00D9508E" w:rsidRDefault="00124ACD" w:rsidP="00996A76">
            <w:pPr>
              <w:spacing w:before="100" w:after="100" w:line="360" w:lineRule="auto"/>
              <w:ind w:right="176"/>
              <w:jc w:val="center"/>
              <w:rPr>
                <w:rFonts w:ascii="Arial Narrow" w:hAnsi="Arial Narrow" w:cs="Arial Narrow"/>
                <w:b/>
                <w:bCs/>
                <w:color w:val="FFFFFF"/>
              </w:rPr>
            </w:pPr>
            <w:r>
              <w:rPr>
                <w:rFonts w:ascii="Arial Narrow" w:hAnsi="Arial Narrow" w:cs="Arial Narrow"/>
                <w:b/>
                <w:bCs/>
                <w:color w:val="FFFFFF"/>
                <w:highlight w:val="black"/>
              </w:rPr>
              <w:t xml:space="preserve">LES </w:t>
            </w:r>
            <w:r w:rsidRPr="00037EF5">
              <w:rPr>
                <w:rFonts w:ascii="Arial Narrow" w:hAnsi="Arial Narrow" w:cs="Arial Narrow"/>
                <w:b/>
                <w:bCs/>
                <w:color w:val="FFFFFF"/>
                <w:highlight w:val="black"/>
              </w:rPr>
              <w:t>ENJEUX ET DEFIS</w:t>
            </w:r>
            <w:r w:rsidR="00CE5A19" w:rsidRPr="00D9508E">
              <w:rPr>
                <w:rFonts w:ascii="Arial Narrow" w:hAnsi="Arial Narrow" w:cs="Arial Narrow"/>
                <w:b/>
                <w:bCs/>
                <w:color w:val="FFFFFF"/>
                <w:highlight w:val="black"/>
              </w:rPr>
              <w:t xml:space="preserve"> </w:t>
            </w:r>
            <w:r w:rsidRPr="00037EF5">
              <w:rPr>
                <w:rFonts w:ascii="Arial Narrow" w:hAnsi="Arial Narrow" w:cs="Arial Narrow"/>
                <w:b/>
                <w:bCs/>
                <w:color w:val="FFFFFF"/>
                <w:highlight w:val="black"/>
              </w:rPr>
              <w:t>DE</w:t>
            </w:r>
            <w:r w:rsidR="00CE5A19" w:rsidRPr="00D9508E">
              <w:rPr>
                <w:rFonts w:ascii="Arial Narrow" w:hAnsi="Arial Narrow" w:cs="Arial Narrow"/>
                <w:b/>
                <w:bCs/>
                <w:color w:val="FFFFFF"/>
                <w:highlight w:val="black"/>
              </w:rPr>
              <w:t xml:space="preserve"> L’EXERCICE DE LA FONCTION CONSTITUANTE </w:t>
            </w:r>
          </w:p>
          <w:p w14:paraId="79F2DEDB" w14:textId="77777777" w:rsidR="00CE5A19" w:rsidRPr="00D9508E" w:rsidRDefault="00CE5A19" w:rsidP="00996A76">
            <w:pPr>
              <w:spacing w:before="100" w:after="100" w:line="360" w:lineRule="auto"/>
              <w:ind w:right="176"/>
              <w:rPr>
                <w:rFonts w:ascii="Arial Narrow" w:hAnsi="Arial Narrow" w:cs="Arial Narrow"/>
              </w:rPr>
            </w:pPr>
          </w:p>
        </w:tc>
      </w:tr>
      <w:tr w:rsidR="00CE5A19" w:rsidRPr="00D9508E" w14:paraId="70BC4FFC" w14:textId="77777777" w:rsidTr="00A55BC0">
        <w:trPr>
          <w:trHeight w:val="686"/>
          <w:jc w:val="center"/>
        </w:trPr>
        <w:tc>
          <w:tcPr>
            <w:tcW w:w="9776" w:type="dxa"/>
            <w:gridSpan w:val="2"/>
            <w:vAlign w:val="center"/>
          </w:tcPr>
          <w:p w14:paraId="75C79877" w14:textId="67A40386" w:rsidR="00CE5A19" w:rsidRPr="00D9508E" w:rsidRDefault="0025793C" w:rsidP="00996A76">
            <w:pPr>
              <w:autoSpaceDE w:val="0"/>
              <w:autoSpaceDN w:val="0"/>
              <w:adjustRightInd w:val="0"/>
              <w:spacing w:line="360" w:lineRule="auto"/>
              <w:ind w:right="-574"/>
              <w:jc w:val="both"/>
              <w:rPr>
                <w:rFonts w:ascii="Arial Narrow" w:eastAsiaTheme="minorHAnsi" w:hAnsi="Arial Narrow" w:cs="Arial Narrow"/>
                <w:lang w:eastAsia="en-US"/>
              </w:rPr>
            </w:pPr>
            <w:r>
              <w:rPr>
                <w:rFonts w:ascii="Arial Narrow" w:eastAsiaTheme="minorHAnsi" w:hAnsi="Arial Narrow" w:cs="Arial Narrow"/>
                <w:lang w:eastAsia="en-US"/>
              </w:rPr>
              <w:t>C</w:t>
            </w:r>
            <w:r w:rsidR="00CE5A19" w:rsidRPr="00D9508E">
              <w:rPr>
                <w:rFonts w:ascii="Arial Narrow" w:eastAsiaTheme="minorHAnsi" w:hAnsi="Arial Narrow" w:cs="Arial Narrow"/>
                <w:lang w:eastAsia="en-US"/>
              </w:rPr>
              <w:t>ommunication 1 : </w:t>
            </w:r>
          </w:p>
          <w:p w14:paraId="053107E4" w14:textId="77777777" w:rsidR="00CE5A19" w:rsidRPr="00D9508E" w:rsidRDefault="00CE5A19" w:rsidP="00996A76">
            <w:pPr>
              <w:autoSpaceDE w:val="0"/>
              <w:autoSpaceDN w:val="0"/>
              <w:adjustRightInd w:val="0"/>
              <w:spacing w:line="360" w:lineRule="auto"/>
              <w:ind w:right="-574"/>
              <w:jc w:val="both"/>
              <w:rPr>
                <w:rFonts w:ascii="Arial Narrow" w:eastAsiaTheme="minorHAnsi" w:hAnsi="Arial Narrow" w:cs="Arial Narrow"/>
                <w:b/>
                <w:bCs/>
                <w:i/>
                <w:iCs/>
                <w:u w:val="single"/>
                <w:lang w:eastAsia="en-US"/>
              </w:rPr>
            </w:pPr>
          </w:p>
          <w:p w14:paraId="450876A4" w14:textId="121446AF" w:rsidR="00CE5A19" w:rsidRPr="00D9508E" w:rsidRDefault="0025793C" w:rsidP="00996A76">
            <w:pPr>
              <w:spacing w:before="100" w:after="100" w:line="360" w:lineRule="auto"/>
              <w:ind w:right="176"/>
              <w:rPr>
                <w:rFonts w:ascii="Arial Narrow" w:hAnsi="Arial Narrow" w:cs="Arial Narrow"/>
                <w:b/>
                <w:u w:val="single"/>
              </w:rPr>
            </w:pPr>
            <w:r>
              <w:rPr>
                <w:rFonts w:ascii="Arial Narrow" w:eastAsiaTheme="minorHAnsi" w:hAnsi="Arial Narrow" w:cs="Arial Narrow"/>
                <w:lang w:eastAsia="en-US"/>
              </w:rPr>
              <w:t>C</w:t>
            </w:r>
            <w:r w:rsidR="00CE5A19" w:rsidRPr="00D9508E">
              <w:rPr>
                <w:rFonts w:ascii="Arial Narrow" w:eastAsiaTheme="minorHAnsi" w:hAnsi="Arial Narrow" w:cs="Arial Narrow"/>
                <w:lang w:eastAsia="en-US"/>
              </w:rPr>
              <w:t>ommunication 2 :</w:t>
            </w:r>
          </w:p>
        </w:tc>
      </w:tr>
    </w:tbl>
    <w:p w14:paraId="19279508" w14:textId="77777777" w:rsidR="00CE5A19" w:rsidRPr="00D9508E" w:rsidRDefault="00CE5A19" w:rsidP="00996A7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</w:pPr>
    </w:p>
    <w:p w14:paraId="1E8D1579" w14:textId="77777777" w:rsidR="00A249B4" w:rsidRPr="00D9508E" w:rsidRDefault="00A249B4" w:rsidP="00996A76">
      <w:pPr>
        <w:spacing w:line="360" w:lineRule="auto"/>
      </w:pPr>
    </w:p>
    <w:sectPr w:rsidR="00A249B4" w:rsidRPr="00D9508E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143A2" w14:textId="77777777" w:rsidR="00C93A6F" w:rsidRDefault="00C93A6F" w:rsidP="00CE5A19">
      <w:r>
        <w:separator/>
      </w:r>
    </w:p>
  </w:endnote>
  <w:endnote w:type="continuationSeparator" w:id="0">
    <w:p w14:paraId="48754574" w14:textId="77777777" w:rsidR="00C93A6F" w:rsidRDefault="00C93A6F" w:rsidP="00CE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463EE" w14:textId="77777777" w:rsidR="00780214" w:rsidRPr="00EF6B5B" w:rsidRDefault="00780214" w:rsidP="00A55BC0">
    <w:pPr>
      <w:pStyle w:val="Footer"/>
      <w:jc w:val="right"/>
      <w:rPr>
        <w:caps/>
      </w:rPr>
    </w:pPr>
    <w:r w:rsidRPr="00EF6B5B">
      <w:rPr>
        <w:caps/>
      </w:rPr>
      <w:fldChar w:fldCharType="begin"/>
    </w:r>
    <w:r w:rsidRPr="00EF6B5B">
      <w:rPr>
        <w:caps/>
      </w:rPr>
      <w:instrText>PAGE   \* MERGEFORMAT</w:instrText>
    </w:r>
    <w:r w:rsidRPr="00EF6B5B">
      <w:rPr>
        <w:caps/>
      </w:rPr>
      <w:fldChar w:fldCharType="separate"/>
    </w:r>
    <w:r w:rsidR="0049332D">
      <w:rPr>
        <w:caps/>
        <w:noProof/>
      </w:rPr>
      <w:t>7</w:t>
    </w:r>
    <w:r w:rsidRPr="00EF6B5B">
      <w:rPr>
        <w:caps/>
      </w:rPr>
      <w:fldChar w:fldCharType="end"/>
    </w:r>
  </w:p>
  <w:p w14:paraId="029A47FA" w14:textId="77777777" w:rsidR="00780214" w:rsidRDefault="007802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8F5C9" w14:textId="77777777" w:rsidR="00C93A6F" w:rsidRDefault="00C93A6F" w:rsidP="00CE5A19">
      <w:r>
        <w:separator/>
      </w:r>
    </w:p>
  </w:footnote>
  <w:footnote w:type="continuationSeparator" w:id="0">
    <w:p w14:paraId="7C3DEF00" w14:textId="77777777" w:rsidR="00C93A6F" w:rsidRDefault="00C93A6F" w:rsidP="00CE5A19">
      <w:r>
        <w:continuationSeparator/>
      </w:r>
    </w:p>
  </w:footnote>
  <w:footnote w:id="1">
    <w:p w14:paraId="5366DA7A" w14:textId="64B37500" w:rsidR="00780214" w:rsidRPr="007D6B1E" w:rsidRDefault="00780214" w:rsidP="007D6B1E">
      <w:pPr>
        <w:pStyle w:val="FootnoteText"/>
        <w:jc w:val="both"/>
        <w:rPr>
          <w:rFonts w:eastAsia="Calibri"/>
          <w:kern w:val="2"/>
          <w:lang w:val="fr-CM" w:eastAsia="en-US"/>
          <w14:ligatures w14:val="standardContextual"/>
        </w:rPr>
      </w:pPr>
      <w:r w:rsidRPr="007D6B1E">
        <w:rPr>
          <w:rStyle w:val="FootnoteReference"/>
        </w:rPr>
        <w:footnoteRef/>
      </w:r>
      <w:r w:rsidRPr="007D6B1E">
        <w:t xml:space="preserve"> T.  </w:t>
      </w:r>
      <w:r w:rsidRPr="007D6B1E">
        <w:rPr>
          <w:rFonts w:eastAsia="Calibri"/>
          <w:kern w:val="2"/>
          <w:lang w:val="fr-CM" w:eastAsia="en-US"/>
          <w14:ligatures w14:val="standardContextual"/>
        </w:rPr>
        <w:t xml:space="preserve">HOLO, « Emergence de la justice constitutionnelle », in </w:t>
      </w:r>
      <w:r w:rsidRPr="007D6B1E">
        <w:rPr>
          <w:rFonts w:eastAsia="Calibri"/>
          <w:i/>
          <w:iCs/>
          <w:kern w:val="2"/>
          <w:lang w:val="fr-CM" w:eastAsia="en-US"/>
          <w14:ligatures w14:val="standardContextual"/>
        </w:rPr>
        <w:t>La Démocratie en Afrique</w:t>
      </w:r>
      <w:r w:rsidRPr="007D6B1E">
        <w:rPr>
          <w:rFonts w:eastAsia="Calibri"/>
          <w:kern w:val="2"/>
          <w:lang w:val="fr-CM" w:eastAsia="en-US"/>
          <w14:ligatures w14:val="standardContextual"/>
        </w:rPr>
        <w:t xml:space="preserve">, Pouvoirs n°29, 129 Seuil, 2009 pp. 101-114 ; I. DIALLO, « À la recherche d’un modèle africain de justice constitutionnelle ». Essais, in </w:t>
      </w:r>
      <w:r w:rsidRPr="007D6B1E">
        <w:rPr>
          <w:rFonts w:eastAsia="Calibri"/>
          <w:i/>
          <w:iCs/>
          <w:kern w:val="2"/>
          <w:lang w:val="fr-CM" w:eastAsia="en-US"/>
          <w14:ligatures w14:val="standardContextual"/>
        </w:rPr>
        <w:t>Annuaire International de Justice Constitutionnelle</w:t>
      </w:r>
      <w:r w:rsidRPr="007D6B1E">
        <w:rPr>
          <w:rFonts w:eastAsia="Calibri"/>
          <w:kern w:val="2"/>
          <w:lang w:val="fr-CM" w:eastAsia="en-US"/>
          <w14:ligatures w14:val="standardContextual"/>
        </w:rPr>
        <w:t>, XX- 2004 pp.93-120.</w:t>
      </w:r>
    </w:p>
  </w:footnote>
  <w:footnote w:id="2">
    <w:p w14:paraId="56B3CE84" w14:textId="77777777" w:rsidR="00E70232" w:rsidRPr="007D6B1E" w:rsidRDefault="00E70232" w:rsidP="00E70232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D. KALUBA DIBWA, </w:t>
      </w:r>
      <w:r w:rsidRPr="007D6B1E">
        <w:rPr>
          <w:i/>
          <w:iCs/>
        </w:rPr>
        <w:t>La justice constitutionnelle en République démocratique du Congo. Fondement et modalités d’exercice</w:t>
      </w:r>
      <w:r w:rsidRPr="007D6B1E">
        <w:t>, Kinshasa-Louvain-la-Neuve, Eucalyptus-</w:t>
      </w:r>
      <w:r w:rsidRPr="007D6B1E">
        <w:t>Académia-L’Harmatan, 2013</w:t>
      </w:r>
      <w:r w:rsidRPr="007D6B1E">
        <w:rPr>
          <w:i/>
          <w:iCs/>
        </w:rPr>
        <w:t xml:space="preserve">, </w:t>
      </w:r>
      <w:r w:rsidRPr="007D6B1E">
        <w:t>p. 362.</w:t>
      </w:r>
    </w:p>
  </w:footnote>
  <w:footnote w:id="3">
    <w:p w14:paraId="75457D7B" w14:textId="00B9DA34" w:rsidR="00780214" w:rsidRPr="007D6B1E" w:rsidRDefault="00780214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S. BOLLE, « Les Cours constituantes d’Afrique », in F. J. AÏVO </w:t>
      </w:r>
      <w:r w:rsidRPr="007D6B1E">
        <w:rPr>
          <w:i/>
          <w:iCs/>
        </w:rPr>
        <w:t>et alii</w:t>
      </w:r>
      <w:r w:rsidRPr="007D6B1E">
        <w:t xml:space="preserve"> (</w:t>
      </w:r>
      <w:r w:rsidRPr="007D6B1E">
        <w:t xml:space="preserve">dir.), </w:t>
      </w:r>
      <w:r w:rsidRPr="007D6B1E">
        <w:rPr>
          <w:i/>
          <w:iCs/>
        </w:rPr>
        <w:t xml:space="preserve">L’Amphithéâtre et le prétoire au service des droits </w:t>
      </w:r>
      <w:r w:rsidR="0057524E" w:rsidRPr="007D6B1E">
        <w:rPr>
          <w:i/>
          <w:iCs/>
        </w:rPr>
        <w:t xml:space="preserve">de l’homme et de la démocratie, </w:t>
      </w:r>
      <w:r w:rsidRPr="007D6B1E">
        <w:rPr>
          <w:iCs/>
        </w:rPr>
        <w:t>Mélanges en l’honneur du Président Robert Dossou</w:t>
      </w:r>
      <w:r w:rsidRPr="007D6B1E">
        <w:t xml:space="preserve">, L’Harmattan, 2020, p. 262.  </w:t>
      </w:r>
    </w:p>
  </w:footnote>
  <w:footnote w:id="4">
    <w:p w14:paraId="470F3448" w14:textId="3541CF06" w:rsidR="00780214" w:rsidRPr="00F4217A" w:rsidRDefault="00780214" w:rsidP="007D6B1E">
      <w:pPr>
        <w:pStyle w:val="FootnoteText"/>
        <w:jc w:val="both"/>
        <w:rPr>
          <w:lang w:val="en-US"/>
        </w:rPr>
      </w:pPr>
      <w:r w:rsidRPr="007D6B1E">
        <w:rPr>
          <w:rStyle w:val="FootnoteReference"/>
        </w:rPr>
        <w:footnoteRef/>
      </w:r>
      <w:r w:rsidRPr="00F4217A">
        <w:rPr>
          <w:lang w:val="en-US"/>
        </w:rPr>
        <w:t xml:space="preserve"> D. KALUBA DIBWA, </w:t>
      </w:r>
      <w:r w:rsidRPr="00F4217A">
        <w:rPr>
          <w:i/>
          <w:iCs/>
          <w:lang w:val="en-US"/>
        </w:rPr>
        <w:t>Op. Cit.</w:t>
      </w:r>
      <w:r w:rsidRPr="00F4217A">
        <w:rPr>
          <w:lang w:val="en-US"/>
        </w:rPr>
        <w:t>, p. 426.</w:t>
      </w:r>
    </w:p>
  </w:footnote>
  <w:footnote w:id="5">
    <w:p w14:paraId="6A5A2240" w14:textId="6DAF23B2" w:rsidR="00780214" w:rsidRPr="007D6B1E" w:rsidRDefault="00780214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Cf. F. HOURQUEBIE, « Le sens d’une constitution vu de l’Afrique », </w:t>
      </w:r>
      <w:r w:rsidRPr="007D6B1E">
        <w:rPr>
          <w:i/>
        </w:rPr>
        <w:t>Titre VII,</w:t>
      </w:r>
      <w:r w:rsidRPr="007D6B1E">
        <w:t xml:space="preserve"> Ed. Conseil constitutionnel, n°1, 2018, p. 38. </w:t>
      </w:r>
    </w:p>
  </w:footnote>
  <w:footnote w:id="6">
    <w:p w14:paraId="3A52B3B5" w14:textId="77777777" w:rsidR="00780214" w:rsidRPr="007D6B1E" w:rsidRDefault="00780214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D. DE BÉCHILLON, </w:t>
      </w:r>
      <w:r w:rsidRPr="007D6B1E">
        <w:rPr>
          <w:i/>
          <w:iCs/>
        </w:rPr>
        <w:t>Hiérarchie des normes et hiérarchie des fonctions normatives de l’État</w:t>
      </w:r>
      <w:r w:rsidRPr="007D6B1E">
        <w:t xml:space="preserve">, Economica, 1996, p. 53 ; R. BONNARD, </w:t>
      </w:r>
      <w:r w:rsidRPr="007D6B1E">
        <w:rPr>
          <w:i/>
          <w:iCs/>
        </w:rPr>
        <w:t>Les actes constitutionnels de 1940</w:t>
      </w:r>
      <w:r w:rsidRPr="007D6B1E">
        <w:t xml:space="preserve">, Paris, LGDJ, 1942, p. 36.   </w:t>
      </w:r>
    </w:p>
  </w:footnote>
  <w:footnote w:id="7">
    <w:p w14:paraId="11C4ED7D" w14:textId="1DE91FED" w:rsidR="00780214" w:rsidRPr="007D6B1E" w:rsidRDefault="00780214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M.-F. RIGAUX, </w:t>
      </w:r>
      <w:r w:rsidRPr="007D6B1E">
        <w:rPr>
          <w:i/>
          <w:iCs/>
        </w:rPr>
        <w:t>La théorie des limites matérielles à l’exercice de la fonction constituante</w:t>
      </w:r>
      <w:r w:rsidRPr="007D6B1E">
        <w:t xml:space="preserve">, F. Larcier, 1985, cité par C. ODJAGA, </w:t>
      </w:r>
      <w:r w:rsidRPr="007D6B1E">
        <w:rPr>
          <w:i/>
        </w:rPr>
        <w:t>Essai sur la fonction constituante des Cours constitutionnelles d’Afrique noire francophone: les exemples du Bénin, de la Côte d’ivoire, du Gabon, du Niger et du Sénégal</w:t>
      </w:r>
      <w:r w:rsidRPr="007D6B1E">
        <w:t xml:space="preserve">, Thèse de Doctorat, Université de Lorraine, 2021, p. 15. </w:t>
      </w:r>
    </w:p>
  </w:footnote>
  <w:footnote w:id="8">
    <w:p w14:paraId="4AD799DE" w14:textId="77777777" w:rsidR="00780214" w:rsidRPr="007D6B1E" w:rsidRDefault="00780214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</w:t>
      </w:r>
      <w:r w:rsidRPr="007D6B1E">
        <w:rPr>
          <w:i/>
          <w:iCs/>
        </w:rPr>
        <w:t>Idem</w:t>
      </w:r>
      <w:r w:rsidRPr="007D6B1E">
        <w:t>, p. 94.</w:t>
      </w:r>
    </w:p>
  </w:footnote>
  <w:footnote w:id="9">
    <w:p w14:paraId="774403F7" w14:textId="506AF012" w:rsidR="00780214" w:rsidRPr="007D6B1E" w:rsidRDefault="00780214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Cf. G. AZEBOVE TETANG, « « L’excès de pouvoir » du juge constitutionnel : entre dérapage et colmatage », </w:t>
      </w:r>
      <w:r w:rsidRPr="007D6B1E">
        <w:rPr>
          <w:i/>
        </w:rPr>
        <w:t>Lex-Electronica,</w:t>
      </w:r>
      <w:r w:rsidRPr="007D6B1E">
        <w:t xml:space="preserve"> Dossier spécial, n°26-2, 2021, p. 275.  </w:t>
      </w:r>
    </w:p>
  </w:footnote>
  <w:footnote w:id="10">
    <w:p w14:paraId="075906DB" w14:textId="0C50D00A" w:rsidR="00780214" w:rsidRPr="007D6B1E" w:rsidRDefault="00780214" w:rsidP="007D6B1E">
      <w:pPr>
        <w:pStyle w:val="FootnoteText"/>
        <w:jc w:val="both"/>
        <w:rPr>
          <w:i/>
        </w:rPr>
      </w:pPr>
      <w:r w:rsidRPr="007D6B1E">
        <w:rPr>
          <w:rStyle w:val="FootnoteReference"/>
        </w:rPr>
        <w:footnoteRef/>
      </w:r>
      <w:r w:rsidRPr="007D6B1E">
        <w:t xml:space="preserve"> C. DE SOUZA, </w:t>
      </w:r>
      <w:r w:rsidRPr="007D6B1E">
        <w:rPr>
          <w:i/>
        </w:rPr>
        <w:t>Les nouveaux pouvoirs du juge constitutionnel béninois à la lumière d’une approche comparatiste. Contribution à la théorie du contentieux constitutionnel</w:t>
      </w:r>
      <w:r w:rsidRPr="007D6B1E">
        <w:t xml:space="preserve">, Thèse de Doctorat, Université Paris-Saclay, 2024, p. 45. </w:t>
      </w:r>
    </w:p>
  </w:footnote>
  <w:footnote w:id="11">
    <w:p w14:paraId="2A70B9EC" w14:textId="0603BF66" w:rsidR="00780214" w:rsidRPr="007D6B1E" w:rsidRDefault="00780214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J. MERMOZ BIKORO, « La fonction constituante du peuple dans le nouveau constitutionalisme des Etats d’Afrique noire francophone », </w:t>
      </w:r>
      <w:r w:rsidRPr="007D6B1E">
        <w:rPr>
          <w:i/>
        </w:rPr>
        <w:t>Civitas europa,</w:t>
      </w:r>
      <w:r w:rsidRPr="007D6B1E">
        <w:t xml:space="preserve"> n°46, 2021/1, p. 327.  </w:t>
      </w:r>
    </w:p>
  </w:footnote>
  <w:footnote w:id="12">
    <w:p w14:paraId="6552AF19" w14:textId="4B9737BC" w:rsidR="00780214" w:rsidRPr="007D6B1E" w:rsidRDefault="00780214" w:rsidP="007D6B1E">
      <w:pPr>
        <w:pStyle w:val="FootnoteText"/>
        <w:jc w:val="both"/>
        <w:rPr>
          <w:lang w:val="fr-CA"/>
        </w:rPr>
      </w:pPr>
      <w:r w:rsidRPr="007D6B1E">
        <w:rPr>
          <w:rStyle w:val="FootnoteReference"/>
        </w:rPr>
        <w:footnoteRef/>
      </w:r>
      <w:r w:rsidRPr="007D6B1E">
        <w:t xml:space="preserve"> G. AZEBOVE TETANG, Article précité, p. 254. </w:t>
      </w:r>
    </w:p>
  </w:footnote>
  <w:footnote w:id="13">
    <w:p w14:paraId="5C91E54D" w14:textId="104EAE0D" w:rsidR="00780214" w:rsidRPr="007D6B1E" w:rsidRDefault="00780214" w:rsidP="007D6B1E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val="fr-CM" w:eastAsia="en-US"/>
        </w:rPr>
      </w:pPr>
      <w:r w:rsidRPr="007D6B1E">
        <w:rPr>
          <w:rStyle w:val="FootnoteReference"/>
          <w:sz w:val="20"/>
          <w:szCs w:val="20"/>
        </w:rPr>
        <w:footnoteRef/>
      </w:r>
      <w:r w:rsidRPr="007D6B1E">
        <w:rPr>
          <w:sz w:val="20"/>
          <w:szCs w:val="20"/>
        </w:rPr>
        <w:t xml:space="preserve"> O. </w:t>
      </w:r>
      <w:r w:rsidRPr="007D6B1E">
        <w:rPr>
          <w:rFonts w:eastAsiaTheme="minorHAnsi"/>
          <w:sz w:val="20"/>
          <w:szCs w:val="20"/>
          <w:lang w:val="fr-CM" w:eastAsia="en-US"/>
        </w:rPr>
        <w:t>JOUANJAN, « Faillible droit », dans O.  JOUANJAN et F. MÜLLER (</w:t>
      </w:r>
      <w:r w:rsidRPr="007D6B1E">
        <w:rPr>
          <w:rFonts w:eastAsiaTheme="minorHAnsi"/>
          <w:sz w:val="20"/>
          <w:szCs w:val="20"/>
          <w:lang w:val="fr-CM" w:eastAsia="en-US"/>
        </w:rPr>
        <w:t xml:space="preserve">dir,), </w:t>
      </w:r>
      <w:r w:rsidRPr="007D6B1E">
        <w:rPr>
          <w:rFonts w:eastAsiaTheme="minorHAnsi"/>
          <w:i/>
          <w:iCs/>
          <w:sz w:val="20"/>
          <w:szCs w:val="20"/>
          <w:lang w:val="fr-CM" w:eastAsia="en-US"/>
        </w:rPr>
        <w:t xml:space="preserve">Avant Dire Droit Texte Norme Trav Droit </w:t>
      </w:r>
      <w:r w:rsidRPr="007D6B1E">
        <w:rPr>
          <w:rFonts w:eastAsiaTheme="minorHAnsi"/>
          <w:sz w:val="20"/>
          <w:szCs w:val="20"/>
          <w:lang w:val="fr-CM" w:eastAsia="en-US"/>
        </w:rPr>
        <w:t>Collection Dikè, Québec, Presses de l’Université Laval, 2007, cité par</w:t>
      </w:r>
      <w:r w:rsidRPr="007D6B1E">
        <w:rPr>
          <w:sz w:val="20"/>
          <w:szCs w:val="20"/>
        </w:rPr>
        <w:t xml:space="preserve"> G. AZEBOVE TETANG, Article précité</w:t>
      </w:r>
      <w:r w:rsidRPr="007D6B1E">
        <w:rPr>
          <w:rFonts w:eastAsiaTheme="minorHAnsi"/>
          <w:sz w:val="20"/>
          <w:szCs w:val="20"/>
          <w:lang w:val="fr-CM" w:eastAsia="en-US"/>
        </w:rPr>
        <w:t>, pp. 249-280.</w:t>
      </w:r>
    </w:p>
  </w:footnote>
  <w:footnote w:id="14">
    <w:p w14:paraId="2C8A4098" w14:textId="4973835D" w:rsidR="00780214" w:rsidRPr="007D6B1E" w:rsidRDefault="00780214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E. BOSHAB, </w:t>
      </w:r>
      <w:r w:rsidRPr="007D6B1E">
        <w:rPr>
          <w:i/>
          <w:iCs/>
        </w:rPr>
        <w:t>Entre la révision constitutionnelle et l’inanition de la nation</w:t>
      </w:r>
      <w:r w:rsidRPr="007D6B1E">
        <w:t>, Bruxelles, Editions Larcier, 2013, p. 85.</w:t>
      </w:r>
    </w:p>
  </w:footnote>
  <w:footnote w:id="15">
    <w:p w14:paraId="7954EDF7" w14:textId="42A59A8D" w:rsidR="00780214" w:rsidRPr="007D6B1E" w:rsidRDefault="00780214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Voir les Arrêt : R. Const. 309 du 10 août 2016, Requête du Président de la République en appréciation de la conformité à la Constitution de la Loi-organique portant organisation, compétence et fonctionnement des juridictions de l’ordre administratif ; R. Const. 111 du 11 septembre 2015, Requête de Monsieur MONDOMBO KANZO Edmond en appréciation de la conformité  à la Constitution du Règlement intérieur de l’Assemblée provinciale de l’Equateur ; R. Const. 2159 du 13 mai 2024, Requête du Président de l’Assemblée provinciale du Sankuru; R</w:t>
      </w:r>
      <w:r w:rsidR="00A41379" w:rsidRPr="007D6B1E">
        <w:t xml:space="preserve">. Const. 2163 </w:t>
      </w:r>
      <w:r w:rsidRPr="007D6B1E">
        <w:t xml:space="preserve">du 23 février 2024, Requête </w:t>
      </w:r>
      <w:r w:rsidR="00A41379" w:rsidRPr="007D6B1E">
        <w:t xml:space="preserve">en appréciation de la conformité  à la Constitution du Règlement intérieur </w:t>
      </w:r>
      <w:r w:rsidRPr="007D6B1E">
        <w:t xml:space="preserve">de l’Assemblée provinciale </w:t>
      </w:r>
      <w:r w:rsidR="00A41379" w:rsidRPr="007D6B1E">
        <w:t xml:space="preserve">de la </w:t>
      </w:r>
      <w:r w:rsidR="00A41379" w:rsidRPr="007D6B1E">
        <w:t>Mongala ;</w:t>
      </w:r>
      <w:r w:rsidR="006C2283" w:rsidRPr="007D6B1E">
        <w:t xml:space="preserve"> ..</w:t>
      </w:r>
      <w:r w:rsidR="00A41379" w:rsidRPr="007D6B1E">
        <w:t xml:space="preserve">. </w:t>
      </w:r>
    </w:p>
  </w:footnote>
  <w:footnote w:id="16">
    <w:p w14:paraId="4A3A0DDF" w14:textId="22AD46B7" w:rsidR="00780214" w:rsidRPr="007D6B1E" w:rsidRDefault="00780214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En ce sens, G. BADET, </w:t>
      </w:r>
      <w:r w:rsidRPr="007D6B1E">
        <w:rPr>
          <w:i/>
        </w:rPr>
        <w:t>Les attributions originales de la Cour constitutionnelle du Bénin,</w:t>
      </w:r>
      <w:r w:rsidRPr="007D6B1E">
        <w:t xml:space="preserve"> Cotonou, Friedrich Ebert Stiftung, 2013, pp. 222 et suivantes. </w:t>
      </w:r>
    </w:p>
  </w:footnote>
  <w:footnote w:id="17">
    <w:p w14:paraId="303308A4" w14:textId="354D81D4" w:rsidR="00780214" w:rsidRPr="007D6B1E" w:rsidRDefault="00780214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OUMAROU NAREY, « La justice constitutionnelle en Afrique francophone : enjeux, bilan et perspectives », in G. LUEMA LUSAVUVU</w:t>
      </w:r>
      <w:r w:rsidRPr="007D6B1E">
        <w:rPr>
          <w:i/>
        </w:rPr>
        <w:t>, La justice constitutionnelle et le contentieux électoral,</w:t>
      </w:r>
      <w:r w:rsidRPr="007D6B1E">
        <w:t xml:space="preserve"> Actes du colloque international tenu à Kinshasa du 18 au 20 mai 2023, Paris, LexisNexis, 2025, p. 75.   </w:t>
      </w:r>
    </w:p>
  </w:footnote>
  <w:footnote w:id="18">
    <w:p w14:paraId="30DF533F" w14:textId="77777777" w:rsidR="00780214" w:rsidRPr="007D6B1E" w:rsidRDefault="00780214" w:rsidP="007D6B1E">
      <w:pPr>
        <w:pStyle w:val="FootnoteText"/>
        <w:jc w:val="both"/>
        <w:rPr>
          <w:i/>
        </w:rPr>
      </w:pPr>
      <w:r w:rsidRPr="007D6B1E">
        <w:rPr>
          <w:rStyle w:val="FootnoteReference"/>
        </w:rPr>
        <w:footnoteRef/>
      </w:r>
      <w:r w:rsidRPr="007D6B1E">
        <w:t xml:space="preserve"> </w:t>
      </w:r>
      <w:r w:rsidRPr="007D6B1E">
        <w:rPr>
          <w:i/>
        </w:rPr>
        <w:t xml:space="preserve">Ibid. </w:t>
      </w:r>
    </w:p>
  </w:footnote>
  <w:footnote w:id="19">
    <w:p w14:paraId="28FA5535" w14:textId="31CE91E7" w:rsidR="00780214" w:rsidRPr="007D6B1E" w:rsidRDefault="00780214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Cf. Montesquieu, « De l’esprit des lois », œuvres complètes, coll. L’Intégrale, préface de G. Vedel, Seuil, Livre XI, ch. VI, 1964, p. 589.</w:t>
      </w:r>
    </w:p>
  </w:footnote>
  <w:footnote w:id="20">
    <w:p w14:paraId="02895F4C" w14:textId="54676A29" w:rsidR="00780214" w:rsidRPr="007D6B1E" w:rsidRDefault="00780214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Voir dans ce sens, X. PHILIPPE, « Le contrôle des lois constitutionnelles en Afrique du Sud », </w:t>
      </w:r>
      <w:r w:rsidRPr="007D6B1E">
        <w:rPr>
          <w:i/>
        </w:rPr>
        <w:t>Cahiers du Conseil constitutionnel,</w:t>
      </w:r>
      <w:r w:rsidRPr="007D6B1E">
        <w:t xml:space="preserve"> n°27, Dossier contrôle de constitutionnalité des lois constitutionnelles, 2010. Disponible sur : </w:t>
      </w:r>
      <w:hyperlink r:id="rId1" w:history="1">
        <w:r w:rsidRPr="007D6B1E">
          <w:rPr>
            <w:rStyle w:val="Hyperlink"/>
          </w:rPr>
          <w:t>https://www.conseil-constitutionnel.fr/nouveaux-cahiers-du-conseil-constitutionnel/le-controle-des-lois-constitutionnelles-en-afrique-du-sud</w:t>
        </w:r>
      </w:hyperlink>
      <w:r w:rsidRPr="007D6B1E">
        <w:t xml:space="preserve">, consulté le 09 mars 2026.  </w:t>
      </w:r>
    </w:p>
  </w:footnote>
  <w:footnote w:id="21">
    <w:p w14:paraId="6B199E0E" w14:textId="026DC8D5" w:rsidR="00780214" w:rsidRPr="007D6B1E" w:rsidRDefault="00780214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Cf. C. Const. Bénin, 20 octobre 2011, DCC 11-067, cité par G. LUEMA LUSAVUVU, « Propos introductifs : Le portrait de la justice constitutionnelle », in G. LUEMA LUSAVUVU</w:t>
      </w:r>
      <w:r w:rsidRPr="007D6B1E">
        <w:rPr>
          <w:i/>
        </w:rPr>
        <w:t xml:space="preserve">, op. </w:t>
      </w:r>
      <w:r w:rsidRPr="007D6B1E">
        <w:rPr>
          <w:i/>
        </w:rPr>
        <w:t xml:space="preserve">cit., </w:t>
      </w:r>
      <w:r w:rsidRPr="007D6B1E">
        <w:t xml:space="preserve">p. 11. </w:t>
      </w:r>
    </w:p>
  </w:footnote>
  <w:footnote w:id="22">
    <w:p w14:paraId="50D168D0" w14:textId="5E8A30EA" w:rsidR="00780214" w:rsidRPr="007D6B1E" w:rsidRDefault="00780214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E. BOTTINI et A. CORRE-BASSET, « Chronique du droit constitutionnel comparé (janvier 2024 à juin 2024), </w:t>
      </w:r>
      <w:r w:rsidRPr="007D6B1E">
        <w:rPr>
          <w:i/>
        </w:rPr>
        <w:t>Titre VII,</w:t>
      </w:r>
      <w:r w:rsidRPr="007D6B1E">
        <w:t xml:space="preserve"> n°13, 2024. Disponible sur : </w:t>
      </w:r>
      <w:hyperlink r:id="rId2" w:history="1">
        <w:r w:rsidRPr="007D6B1E">
          <w:rPr>
            <w:rStyle w:val="Hyperlink"/>
          </w:rPr>
          <w:t>https://www.conseil-constitutionnel.fr/publications/titre-vii-chronique-de-droit-constitutionnel-compare-janvier-2024-a-juin-2024</w:t>
        </w:r>
      </w:hyperlink>
      <w:r w:rsidRPr="007D6B1E">
        <w:t xml:space="preserve">, consulté le 05 mars 2026.   </w:t>
      </w:r>
    </w:p>
  </w:footnote>
  <w:footnote w:id="23">
    <w:p w14:paraId="06825938" w14:textId="6E9D29EF" w:rsidR="007D6B1E" w:rsidRPr="00CA28DE" w:rsidRDefault="007D6B1E" w:rsidP="007D6B1E">
      <w:pPr>
        <w:pStyle w:val="FootnoteText"/>
        <w:jc w:val="both"/>
      </w:pPr>
      <w:r w:rsidRPr="007D6B1E">
        <w:rPr>
          <w:rStyle w:val="FootnoteReference"/>
        </w:rPr>
        <w:footnoteRef/>
      </w:r>
      <w:r w:rsidRPr="007D6B1E">
        <w:t xml:space="preserve"> </w:t>
      </w:r>
      <w:r w:rsidR="00CA28DE">
        <w:t xml:space="preserve">S. B. OMBOULA, « Quand le Conseil constitutionnel du Sénégal désavoue le Président Macky SALL : A propos de la Décision n° 1/C/2024 du 15 février 2024 », disponible sur : </w:t>
      </w:r>
      <w:hyperlink r:id="rId3" w:history="1">
        <w:r w:rsidR="00CA28DE" w:rsidRPr="001669FC">
          <w:rPr>
            <w:rStyle w:val="Hyperlink"/>
          </w:rPr>
          <w:t>https://droit-et-politique-en-afrique.info/wp-content/uploads/2024/02/Quand-le-Conseil-constitutionnel-du-Senegal-desavoue-le-President-Macky-Sall.pdf</w:t>
        </w:r>
      </w:hyperlink>
      <w:r w:rsidR="00CA28DE">
        <w:t xml:space="preserve">; </w:t>
      </w:r>
      <w:r w:rsidRPr="007D6B1E">
        <w:t>N</w:t>
      </w:r>
      <w:r w:rsidR="00CA28DE">
        <w:t xml:space="preserve">. </w:t>
      </w:r>
      <w:r w:rsidRPr="007D6B1E">
        <w:t>S</w:t>
      </w:r>
      <w:r w:rsidR="00CA28DE">
        <w:t xml:space="preserve">. </w:t>
      </w:r>
      <w:r w:rsidRPr="007D6B1E">
        <w:t>D</w:t>
      </w:r>
      <w:r w:rsidR="00CA28DE">
        <w:t>.</w:t>
      </w:r>
      <w:r w:rsidRPr="007D6B1E">
        <w:t xml:space="preserve"> NDIONE, « La décision n°1/C/2024 du 15 février 2024 : une jurisprudence à l’aune du juridique », disponible sur : </w:t>
      </w:r>
      <w:hyperlink r:id="rId4" w:history="1">
        <w:r w:rsidRPr="001669FC">
          <w:rPr>
            <w:rStyle w:val="Hyperlink"/>
          </w:rPr>
          <w:t>https://ceracle.com/la-decision-n1-c-2024-du-15-fevrier-2024-une-jurisprudence-a-laune-du-juridique-par-madame-ndeye-seynabou-diop-ndione/</w:t>
        </w:r>
      </w:hyperlink>
      <w:r>
        <w:rPr>
          <w:color w:val="000000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597A48"/>
    <w:multiLevelType w:val="hybridMultilevel"/>
    <w:tmpl w:val="5316D0A8"/>
    <w:lvl w:ilvl="0" w:tplc="372E6D6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65142"/>
    <w:multiLevelType w:val="hybridMultilevel"/>
    <w:tmpl w:val="1EB66F00"/>
    <w:lvl w:ilvl="0" w:tplc="F39C5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104162">
    <w:abstractNumId w:val="1"/>
  </w:num>
  <w:num w:numId="2" w16cid:durableId="69667169">
    <w:abstractNumId w:val="2"/>
  </w:num>
  <w:num w:numId="3" w16cid:durableId="109956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A19"/>
    <w:rsid w:val="00030FFF"/>
    <w:rsid w:val="00037EF5"/>
    <w:rsid w:val="00070D01"/>
    <w:rsid w:val="000C549A"/>
    <w:rsid w:val="000D6608"/>
    <w:rsid w:val="000F1098"/>
    <w:rsid w:val="00124ACD"/>
    <w:rsid w:val="00127B67"/>
    <w:rsid w:val="001616E2"/>
    <w:rsid w:val="00173077"/>
    <w:rsid w:val="0018052B"/>
    <w:rsid w:val="001A3CF8"/>
    <w:rsid w:val="001C55CF"/>
    <w:rsid w:val="001E2419"/>
    <w:rsid w:val="002001DF"/>
    <w:rsid w:val="00213F3B"/>
    <w:rsid w:val="00247241"/>
    <w:rsid w:val="002529FF"/>
    <w:rsid w:val="002543D6"/>
    <w:rsid w:val="0025793C"/>
    <w:rsid w:val="002631DE"/>
    <w:rsid w:val="002819F9"/>
    <w:rsid w:val="00294D33"/>
    <w:rsid w:val="002A454D"/>
    <w:rsid w:val="002B2BD0"/>
    <w:rsid w:val="002B39CB"/>
    <w:rsid w:val="002C5391"/>
    <w:rsid w:val="002D767D"/>
    <w:rsid w:val="00332D6C"/>
    <w:rsid w:val="00337B95"/>
    <w:rsid w:val="00350369"/>
    <w:rsid w:val="00376471"/>
    <w:rsid w:val="00386870"/>
    <w:rsid w:val="0039384A"/>
    <w:rsid w:val="003A0E98"/>
    <w:rsid w:val="003F56ED"/>
    <w:rsid w:val="00404886"/>
    <w:rsid w:val="00406AE8"/>
    <w:rsid w:val="00416CF2"/>
    <w:rsid w:val="00416DDE"/>
    <w:rsid w:val="00417254"/>
    <w:rsid w:val="0045435E"/>
    <w:rsid w:val="004702FF"/>
    <w:rsid w:val="00472AE5"/>
    <w:rsid w:val="00477D4C"/>
    <w:rsid w:val="0049332D"/>
    <w:rsid w:val="00497C6B"/>
    <w:rsid w:val="004D2CC5"/>
    <w:rsid w:val="004E4CD1"/>
    <w:rsid w:val="00526C52"/>
    <w:rsid w:val="00536940"/>
    <w:rsid w:val="00551413"/>
    <w:rsid w:val="00556027"/>
    <w:rsid w:val="00567423"/>
    <w:rsid w:val="0057524E"/>
    <w:rsid w:val="005760B3"/>
    <w:rsid w:val="005906A1"/>
    <w:rsid w:val="005F1611"/>
    <w:rsid w:val="005F28A9"/>
    <w:rsid w:val="006209A0"/>
    <w:rsid w:val="0062474C"/>
    <w:rsid w:val="00627613"/>
    <w:rsid w:val="00681917"/>
    <w:rsid w:val="00683F33"/>
    <w:rsid w:val="006C0AEE"/>
    <w:rsid w:val="006C2283"/>
    <w:rsid w:val="006C5EB4"/>
    <w:rsid w:val="006D6AB4"/>
    <w:rsid w:val="006E3303"/>
    <w:rsid w:val="006E33F6"/>
    <w:rsid w:val="00704CE1"/>
    <w:rsid w:val="00710F38"/>
    <w:rsid w:val="00732AB7"/>
    <w:rsid w:val="007624A3"/>
    <w:rsid w:val="00765EB0"/>
    <w:rsid w:val="00780214"/>
    <w:rsid w:val="007A15D5"/>
    <w:rsid w:val="007B0EC9"/>
    <w:rsid w:val="007B126E"/>
    <w:rsid w:val="007B6788"/>
    <w:rsid w:val="007C792A"/>
    <w:rsid w:val="007D6B1E"/>
    <w:rsid w:val="007D715F"/>
    <w:rsid w:val="007F1C47"/>
    <w:rsid w:val="00850877"/>
    <w:rsid w:val="00894B94"/>
    <w:rsid w:val="008E1DD0"/>
    <w:rsid w:val="008E3A28"/>
    <w:rsid w:val="00903C56"/>
    <w:rsid w:val="0091782D"/>
    <w:rsid w:val="00940070"/>
    <w:rsid w:val="009604C0"/>
    <w:rsid w:val="00975ADA"/>
    <w:rsid w:val="00991F21"/>
    <w:rsid w:val="009925C6"/>
    <w:rsid w:val="00996A76"/>
    <w:rsid w:val="009C0AB1"/>
    <w:rsid w:val="009C7BC3"/>
    <w:rsid w:val="009E4C8B"/>
    <w:rsid w:val="00A23276"/>
    <w:rsid w:val="00A249B4"/>
    <w:rsid w:val="00A258D3"/>
    <w:rsid w:val="00A35698"/>
    <w:rsid w:val="00A41379"/>
    <w:rsid w:val="00A44371"/>
    <w:rsid w:val="00A55BC0"/>
    <w:rsid w:val="00A97723"/>
    <w:rsid w:val="00AA63C6"/>
    <w:rsid w:val="00AD05C5"/>
    <w:rsid w:val="00AE35FD"/>
    <w:rsid w:val="00AF4E17"/>
    <w:rsid w:val="00AF7CEC"/>
    <w:rsid w:val="00B125DA"/>
    <w:rsid w:val="00B25DF6"/>
    <w:rsid w:val="00B31B4E"/>
    <w:rsid w:val="00B54D68"/>
    <w:rsid w:val="00BC4113"/>
    <w:rsid w:val="00BE5FD3"/>
    <w:rsid w:val="00BF12DE"/>
    <w:rsid w:val="00C1232A"/>
    <w:rsid w:val="00C20E8C"/>
    <w:rsid w:val="00C23034"/>
    <w:rsid w:val="00C42721"/>
    <w:rsid w:val="00C57297"/>
    <w:rsid w:val="00C61E5F"/>
    <w:rsid w:val="00C6230C"/>
    <w:rsid w:val="00C8291C"/>
    <w:rsid w:val="00C85B24"/>
    <w:rsid w:val="00C93A6F"/>
    <w:rsid w:val="00CA28DE"/>
    <w:rsid w:val="00CD518B"/>
    <w:rsid w:val="00CE5A19"/>
    <w:rsid w:val="00D01B7C"/>
    <w:rsid w:val="00D10E57"/>
    <w:rsid w:val="00D42D72"/>
    <w:rsid w:val="00D5368D"/>
    <w:rsid w:val="00D64552"/>
    <w:rsid w:val="00D8201C"/>
    <w:rsid w:val="00D84F44"/>
    <w:rsid w:val="00D9508E"/>
    <w:rsid w:val="00DA156D"/>
    <w:rsid w:val="00DB4AC8"/>
    <w:rsid w:val="00DC6EAC"/>
    <w:rsid w:val="00DE0FF4"/>
    <w:rsid w:val="00DF1513"/>
    <w:rsid w:val="00E30DCF"/>
    <w:rsid w:val="00E326EA"/>
    <w:rsid w:val="00E37D7A"/>
    <w:rsid w:val="00E46CA7"/>
    <w:rsid w:val="00E70232"/>
    <w:rsid w:val="00E70243"/>
    <w:rsid w:val="00EA711D"/>
    <w:rsid w:val="00EB697B"/>
    <w:rsid w:val="00EC4AF6"/>
    <w:rsid w:val="00EF66F7"/>
    <w:rsid w:val="00F242C9"/>
    <w:rsid w:val="00F4217A"/>
    <w:rsid w:val="00F51F3E"/>
    <w:rsid w:val="00F532B6"/>
    <w:rsid w:val="00F60429"/>
    <w:rsid w:val="00F942C9"/>
    <w:rsid w:val="00FA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87A6"/>
  <w15:chartTrackingRefBased/>
  <w15:docId w15:val="{2FE098B3-66C3-44E6-86A3-6A802CDF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E5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5A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5A19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E5A1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E5A19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E5A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A19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ListParagraph">
    <w:name w:val="List Paragraph"/>
    <w:aliases w:val="References,Bullets"/>
    <w:basedOn w:val="Normal"/>
    <w:link w:val="ListParagraphChar"/>
    <w:uiPriority w:val="99"/>
    <w:qFormat/>
    <w:rsid w:val="00CE5A19"/>
    <w:pPr>
      <w:ind w:left="720"/>
      <w:contextualSpacing/>
    </w:pPr>
  </w:style>
  <w:style w:type="character" w:customStyle="1" w:styleId="ListParagraphChar">
    <w:name w:val="List Paragraph Char"/>
    <w:aliases w:val="References Char,Bullets Char"/>
    <w:basedOn w:val="DefaultParagraphFont"/>
    <w:link w:val="ListParagraph"/>
    <w:uiPriority w:val="99"/>
    <w:rsid w:val="00CE5A19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efault">
    <w:name w:val="Default"/>
    <w:rsid w:val="0045435E"/>
    <w:pPr>
      <w:autoSpaceDE w:val="0"/>
      <w:autoSpaceDN w:val="0"/>
      <w:adjustRightInd w:val="0"/>
      <w:spacing w:after="0" w:line="240" w:lineRule="auto"/>
    </w:pPr>
    <w:rPr>
      <w:rFonts w:ascii="Goudy Old Style" w:hAnsi="Goudy Old Style" w:cs="Goudy Old Style"/>
      <w:color w:val="000000"/>
      <w:sz w:val="24"/>
      <w:szCs w:val="24"/>
      <w:lang w:val="fr-CM"/>
    </w:rPr>
  </w:style>
  <w:style w:type="paragraph" w:styleId="Revision">
    <w:name w:val="Revision"/>
    <w:hidden/>
    <w:uiPriority w:val="99"/>
    <w:semiHidden/>
    <w:rsid w:val="00161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BC4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113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113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C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C8B"/>
    <w:rPr>
      <w:rFonts w:ascii="Segoe UI" w:eastAsia="Times New Roman" w:hAnsi="Segoe UI" w:cs="Segoe UI"/>
      <w:sz w:val="18"/>
      <w:szCs w:val="18"/>
      <w:lang w:val="fr-FR" w:eastAsia="fr-FR"/>
    </w:rPr>
  </w:style>
  <w:style w:type="table" w:customStyle="1" w:styleId="Grilledutableau1">
    <w:name w:val="Grille du tableau1"/>
    <w:basedOn w:val="TableNormal"/>
    <w:next w:val="TableGrid"/>
    <w:uiPriority w:val="39"/>
    <w:rsid w:val="00E46CA7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4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roit-et-politique-en-afrique.info/wp-content/uploads/2024/02/Quand-le-Conseil-constitutionnel-du-Senegal-desavoue-le-President-Macky-Sall.pdf" TargetMode="External"/><Relationship Id="rId2" Type="http://schemas.openxmlformats.org/officeDocument/2006/relationships/hyperlink" Target="https://www.conseil-constitutionnel.fr/publications/titre-vii-chronique-de-droit-constitutionnel-compare-janvier-2024-a-juin-2024" TargetMode="External"/><Relationship Id="rId1" Type="http://schemas.openxmlformats.org/officeDocument/2006/relationships/hyperlink" Target="https://www.conseil-constitutionnel.fr/nouveaux-cahiers-du-conseil-constitutionnel/le-controle-des-lois-constitutionnelles-en-afrique-du-sud" TargetMode="External"/><Relationship Id="rId4" Type="http://schemas.openxmlformats.org/officeDocument/2006/relationships/hyperlink" Target="https://ceracle.com/la-decision-n1-c-2024-du-15-fevrier-2024-une-jurisprudence-a-laune-du-juridique-par-madame-ndeye-seynabou-diop-ndion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DB4C5-27EF-447A-AA49-BB32FF56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1318</Words>
  <Characters>7711</Characters>
  <Application>Microsoft Office Word</Application>
  <DocSecurity>0</DocSecurity>
  <Lines>157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Moussa LARABA</cp:lastModifiedBy>
  <cp:revision>2</cp:revision>
  <dcterms:created xsi:type="dcterms:W3CDTF">2026-05-18T15:41:00Z</dcterms:created>
  <dcterms:modified xsi:type="dcterms:W3CDTF">2026-05-18T15:41:00Z</dcterms:modified>
</cp:coreProperties>
</file>